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37E8" w14:textId="77777777" w:rsidR="008B0C81" w:rsidRDefault="008B0C81" w:rsidP="008B0C8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1"/>
        <w:gridCol w:w="2482"/>
        <w:gridCol w:w="2638"/>
        <w:gridCol w:w="1381"/>
      </w:tblGrid>
      <w:tr w:rsidR="0093784D" w14:paraId="3F57DDBC" w14:textId="4302B507" w:rsidTr="0093784D">
        <w:tc>
          <w:tcPr>
            <w:tcW w:w="2561" w:type="dxa"/>
            <w:vAlign w:val="center"/>
          </w:tcPr>
          <w:p w14:paraId="5B8F68CA" w14:textId="77777777" w:rsidR="00781144" w:rsidRDefault="00781144" w:rsidP="00803B4E">
            <w:pPr>
              <w:pStyle w:val="Kontakt"/>
              <w:rPr>
                <w:rFonts w:asciiTheme="minorHAnsi" w:hAnsiTheme="minorHAnsi" w:cstheme="minorHAnsi"/>
              </w:rPr>
            </w:pPr>
            <w:bookmarkStart w:id="0" w:name="_Hlk51159620"/>
            <w:bookmarkEnd w:id="0"/>
            <w:r>
              <w:rPr>
                <w:noProof/>
              </w:rPr>
              <w:drawing>
                <wp:inline distT="0" distB="0" distL="0" distR="0" wp14:anchorId="69CD717A" wp14:editId="09874DBC">
                  <wp:extent cx="1536065" cy="415242"/>
                  <wp:effectExtent l="0" t="0" r="6985"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CR_zakladni znacka_CZ_cmyk.emf"/>
                          <pic:cNvPicPr/>
                        </pic:nvPicPr>
                        <pic:blipFill>
                          <a:blip r:embed="rId9">
                            <a:extLst>
                              <a:ext uri="{28A0092B-C50C-407E-A947-70E740481C1C}">
                                <a14:useLocalDpi xmlns:a14="http://schemas.microsoft.com/office/drawing/2010/main" val="0"/>
                              </a:ext>
                            </a:extLst>
                          </a:blip>
                          <a:stretch>
                            <a:fillRect/>
                          </a:stretch>
                        </pic:blipFill>
                        <pic:spPr>
                          <a:xfrm>
                            <a:off x="0" y="0"/>
                            <a:ext cx="1638241" cy="442863"/>
                          </a:xfrm>
                          <a:prstGeom prst="rect">
                            <a:avLst/>
                          </a:prstGeom>
                        </pic:spPr>
                      </pic:pic>
                    </a:graphicData>
                  </a:graphic>
                </wp:inline>
              </w:drawing>
            </w:r>
          </w:p>
        </w:tc>
        <w:tc>
          <w:tcPr>
            <w:tcW w:w="2482" w:type="dxa"/>
            <w:vAlign w:val="center"/>
          </w:tcPr>
          <w:p w14:paraId="27B3FF5A" w14:textId="4A04E479" w:rsidR="00781144" w:rsidRPr="00D36C42" w:rsidRDefault="00781144" w:rsidP="00803B4E">
            <w:pPr>
              <w:pStyle w:val="Kontakt"/>
              <w:rPr>
                <w:rFonts w:asciiTheme="minorHAnsi" w:hAnsiTheme="minorHAnsi" w:cstheme="minorHAnsi"/>
                <w:highlight w:val="yellow"/>
              </w:rPr>
            </w:pPr>
            <w:r>
              <w:rPr>
                <w:noProof/>
              </w:rPr>
              <w:drawing>
                <wp:inline distT="0" distB="0" distL="0" distR="0" wp14:anchorId="0C2FBED2" wp14:editId="56C4470C">
                  <wp:extent cx="1572710" cy="6781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817" cy="690300"/>
                          </a:xfrm>
                          <a:prstGeom prst="rect">
                            <a:avLst/>
                          </a:prstGeom>
                          <a:noFill/>
                          <a:ln>
                            <a:noFill/>
                          </a:ln>
                        </pic:spPr>
                      </pic:pic>
                    </a:graphicData>
                  </a:graphic>
                </wp:inline>
              </w:drawing>
            </w:r>
            <w:r w:rsidRPr="00D36C42">
              <w:rPr>
                <w:rFonts w:asciiTheme="minorHAnsi" w:hAnsiTheme="minorHAnsi" w:cstheme="minorHAnsi"/>
                <w:highlight w:val="yellow"/>
              </w:rPr>
              <w:t xml:space="preserve"> </w:t>
            </w:r>
          </w:p>
        </w:tc>
        <w:tc>
          <w:tcPr>
            <w:tcW w:w="2638" w:type="dxa"/>
          </w:tcPr>
          <w:p w14:paraId="59E7B491" w14:textId="43105797" w:rsidR="00781144" w:rsidRDefault="00781144" w:rsidP="00803B4E">
            <w:pPr>
              <w:pStyle w:val="Kontakt"/>
              <w:rPr>
                <w:noProof/>
              </w:rPr>
            </w:pPr>
            <w:r>
              <w:rPr>
                <w:b/>
                <w:bCs/>
                <w:noProof/>
              </w:rPr>
              <w:drawing>
                <wp:anchor distT="0" distB="0" distL="114300" distR="114300" simplePos="0" relativeHeight="251658240" behindDoc="0" locked="0" layoutInCell="1" allowOverlap="1" wp14:anchorId="64FD2354" wp14:editId="5E62F6AB">
                  <wp:simplePos x="0" y="0"/>
                  <wp:positionH relativeFrom="column">
                    <wp:posOffset>0</wp:posOffset>
                  </wp:positionH>
                  <wp:positionV relativeFrom="paragraph">
                    <wp:posOffset>121920</wp:posOffset>
                  </wp:positionV>
                  <wp:extent cx="1226765" cy="44196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6765" cy="441960"/>
                          </a:xfrm>
                          <a:prstGeom prst="rect">
                            <a:avLst/>
                          </a:prstGeom>
                          <a:noFill/>
                          <a:ln>
                            <a:noFill/>
                          </a:ln>
                        </pic:spPr>
                      </pic:pic>
                    </a:graphicData>
                  </a:graphic>
                </wp:anchor>
              </w:drawing>
            </w:r>
          </w:p>
        </w:tc>
        <w:tc>
          <w:tcPr>
            <w:tcW w:w="1381" w:type="dxa"/>
          </w:tcPr>
          <w:p w14:paraId="29071584" w14:textId="77777777" w:rsidR="00781144" w:rsidRDefault="00781144" w:rsidP="00803B4E">
            <w:pPr>
              <w:pStyle w:val="Kontakt"/>
              <w:rPr>
                <w:noProof/>
              </w:rPr>
            </w:pPr>
          </w:p>
        </w:tc>
      </w:tr>
    </w:tbl>
    <w:p w14:paraId="28E25E6C" w14:textId="77777777" w:rsidR="008B0C81" w:rsidRDefault="008B0C81" w:rsidP="008B0C81"/>
    <w:p w14:paraId="1E2AE80D" w14:textId="36F38F2F" w:rsidR="008B0C81" w:rsidRDefault="008B0C81" w:rsidP="008B0C81">
      <w:pPr>
        <w:tabs>
          <w:tab w:val="right" w:pos="9072"/>
        </w:tabs>
      </w:pPr>
      <w:r w:rsidRPr="00E0461D">
        <w:rPr>
          <w:rStyle w:val="Nadpis1Char"/>
          <w:color w:val="auto"/>
          <w:sz w:val="24"/>
        </w:rPr>
        <w:t>Tisková zpráva</w:t>
      </w:r>
      <w:r w:rsidRPr="00E0461D">
        <w:rPr>
          <w:sz w:val="18"/>
        </w:rPr>
        <w:t xml:space="preserve"> </w:t>
      </w:r>
      <w:r>
        <w:tab/>
      </w:r>
      <w:r w:rsidR="006A0C95" w:rsidRPr="00126218">
        <w:t>Praha</w:t>
      </w:r>
      <w:r w:rsidRPr="00126218">
        <w:t xml:space="preserve"> </w:t>
      </w:r>
      <w:r w:rsidR="001F226C" w:rsidRPr="00126218">
        <w:t>7</w:t>
      </w:r>
      <w:r w:rsidRPr="00126218">
        <w:t xml:space="preserve">. </w:t>
      </w:r>
      <w:r w:rsidR="001F226C" w:rsidRPr="00126218">
        <w:t>února</w:t>
      </w:r>
      <w:r w:rsidRPr="00126218">
        <w:t xml:space="preserve"> 202</w:t>
      </w:r>
      <w:r w:rsidR="001F226C" w:rsidRPr="00126218">
        <w:t>3</w:t>
      </w:r>
    </w:p>
    <w:p w14:paraId="6F1508A5" w14:textId="77777777" w:rsidR="008B0C81" w:rsidRPr="00E80AFE" w:rsidRDefault="008B0C81" w:rsidP="008B0C81">
      <w:pPr>
        <w:tabs>
          <w:tab w:val="right" w:pos="9072"/>
        </w:tabs>
      </w:pPr>
      <w:r w:rsidRPr="00E80AFE">
        <w:t>Akademie věd ČR</w:t>
      </w:r>
      <w:r>
        <w:br/>
      </w:r>
      <w:r w:rsidRPr="00E80AFE">
        <w:t xml:space="preserve">Národní 1009/3, </w:t>
      </w:r>
      <w:r w:rsidRPr="00273129">
        <w:t xml:space="preserve">110 00 Praha 1 </w:t>
      </w:r>
      <w:r>
        <w:br/>
      </w:r>
      <w:r w:rsidRPr="00273129">
        <w:t>www.avcr.cz</w:t>
      </w:r>
    </w:p>
    <w:p w14:paraId="14F99E8D" w14:textId="77777777" w:rsidR="008B0C81" w:rsidRDefault="008B0C81" w:rsidP="008B0C81">
      <w:pPr>
        <w:pStyle w:val="Normlnweb"/>
        <w:sectPr w:rsidR="008B0C81" w:rsidSect="0071586E">
          <w:footerReference w:type="default" r:id="rId12"/>
          <w:pgSz w:w="11906" w:h="16838"/>
          <w:pgMar w:top="1135" w:right="1417" w:bottom="2977" w:left="1417" w:header="851" w:footer="1417" w:gutter="0"/>
          <w:cols w:space="708"/>
          <w:docGrid w:linePitch="360"/>
        </w:sectPr>
      </w:pPr>
    </w:p>
    <w:p w14:paraId="47443D65" w14:textId="77777777" w:rsidR="008B0C81" w:rsidRDefault="008B0C81" w:rsidP="008B0C81">
      <w:pPr>
        <w:pStyle w:val="Normlnweb"/>
      </w:pPr>
    </w:p>
    <w:p w14:paraId="1FF4320C" w14:textId="65FBCC1E" w:rsidR="008B0C81" w:rsidRPr="00AE2820" w:rsidRDefault="00CD44A4" w:rsidP="001F226C">
      <w:pPr>
        <w:pStyle w:val="Nadpis1"/>
      </w:pPr>
      <w:bookmarkStart w:id="1" w:name="_Hlk126585679"/>
      <w:bookmarkStart w:id="2" w:name="_Hlk126588382"/>
      <w:r>
        <w:t xml:space="preserve">NOVÁ </w:t>
      </w:r>
      <w:r w:rsidR="001F226C">
        <w:t>Technologie zrychlí, usnadní a zlevní imunochemick</w:t>
      </w:r>
      <w:r>
        <w:t>É</w:t>
      </w:r>
      <w:r w:rsidR="001F226C">
        <w:t xml:space="preserve"> test</w:t>
      </w:r>
      <w:r>
        <w:t>OVÁNÍ</w:t>
      </w:r>
      <w:r w:rsidR="001F226C">
        <w:t xml:space="preserve"> </w:t>
      </w:r>
      <w:bookmarkEnd w:id="1"/>
    </w:p>
    <w:bookmarkEnd w:id="2"/>
    <w:p w14:paraId="7630AE7A" w14:textId="77777777" w:rsidR="008B0C81" w:rsidRDefault="008B0C81" w:rsidP="008B0C81">
      <w:pPr>
        <w:pStyle w:val="Nadpis1"/>
        <w:rPr>
          <w:rStyle w:val="Siln"/>
          <w:b/>
        </w:rPr>
      </w:pPr>
      <w:r>
        <w:rPr>
          <w:noProof/>
        </w:rPr>
        <w:drawing>
          <wp:inline distT="0" distB="0" distL="0" distR="0" wp14:anchorId="2F140222" wp14:editId="2DA28CB9">
            <wp:extent cx="1752600" cy="317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31750"/>
                    </a:xfrm>
                    <a:prstGeom prst="rect">
                      <a:avLst/>
                    </a:prstGeom>
                    <a:noFill/>
                    <a:ln>
                      <a:noFill/>
                    </a:ln>
                  </pic:spPr>
                </pic:pic>
              </a:graphicData>
            </a:graphic>
          </wp:inline>
        </w:drawing>
      </w:r>
    </w:p>
    <w:p w14:paraId="44A28065" w14:textId="5D03AA60" w:rsidR="008B0C81" w:rsidRPr="00E0461D" w:rsidRDefault="00A90079" w:rsidP="00D36C42">
      <w:pPr>
        <w:pStyle w:val="Perex"/>
        <w:spacing w:before="120" w:beforeAutospacing="0" w:after="120" w:afterAutospacing="0"/>
      </w:pPr>
      <w:r>
        <w:t>Věd</w:t>
      </w:r>
      <w:r w:rsidR="00CE6D39">
        <w:t>ci ve spolupráci s</w:t>
      </w:r>
      <w:r w:rsidR="00312CB3">
        <w:t> </w:t>
      </w:r>
      <w:r w:rsidR="00073737">
        <w:t>vývojáři</w:t>
      </w:r>
      <w:r w:rsidR="00312CB3">
        <w:t xml:space="preserve"> z</w:t>
      </w:r>
      <w:r w:rsidR="000606BD">
        <w:t xml:space="preserve"> průmyslu</w:t>
      </w:r>
      <w:r w:rsidR="009008CE">
        <w:t xml:space="preserve"> v</w:t>
      </w:r>
      <w:r w:rsidR="001A078D">
        <w:t>yv</w:t>
      </w:r>
      <w:r w:rsidR="00CE6D39">
        <w:t xml:space="preserve">inuli </w:t>
      </w:r>
      <w:r w:rsidR="006406FA">
        <w:t>technologii, která umí připravit plně syntetický polymer</w:t>
      </w:r>
      <w:r w:rsidR="00EC65C4">
        <w:t xml:space="preserve"> a výrazně zjednoduší i zlevní</w:t>
      </w:r>
      <w:r w:rsidR="00440B69">
        <w:t xml:space="preserve"> provádě</w:t>
      </w:r>
      <w:r w:rsidR="007819AC">
        <w:t xml:space="preserve">ní </w:t>
      </w:r>
      <w:r w:rsidR="001A078D">
        <w:t>analýz</w:t>
      </w:r>
      <w:r w:rsidR="007819AC">
        <w:t>, jež mají za cíl prokázat přítomnost patogenu nebo spec</w:t>
      </w:r>
      <w:r w:rsidR="00312CB3">
        <w:t>i</w:t>
      </w:r>
      <w:r w:rsidR="007819AC">
        <w:t>f</w:t>
      </w:r>
      <w:r w:rsidR="00312CB3">
        <w:t>i</w:t>
      </w:r>
      <w:r w:rsidR="007819AC">
        <w:t xml:space="preserve">cké protilátky v organismu. </w:t>
      </w:r>
      <w:r w:rsidR="00637241" w:rsidRPr="00637241">
        <w:t>Nově licencovaná technologie vznikla ve spolupráci Ústavu makromolekulární chemie AV ČR, firmy Elisa Development</w:t>
      </w:r>
      <w:r w:rsidR="004B211A">
        <w:t xml:space="preserve">, </w:t>
      </w:r>
      <w:r w:rsidR="00637241" w:rsidRPr="00637241">
        <w:t>bio-inovačního centra i&amp;i Prague</w:t>
      </w:r>
      <w:r w:rsidR="004B211A">
        <w:t xml:space="preserve"> a firmy Sophomer, která vznikla na konci roku 2022 jako startup</w:t>
      </w:r>
      <w:r w:rsidR="00291B95">
        <w:t xml:space="preserve"> Ústavu makromolekulární chemie AV ČR</w:t>
      </w:r>
      <w:r w:rsidR="004E7A68">
        <w:t xml:space="preserve"> (ÚMCH)</w:t>
      </w:r>
      <w:r w:rsidR="00291B95">
        <w:t>.</w:t>
      </w:r>
      <w:r w:rsidR="008B0C81" w:rsidRPr="00E0461D">
        <w:t xml:space="preserve"> </w:t>
      </w:r>
    </w:p>
    <w:p w14:paraId="1404AC9C" w14:textId="4888593E" w:rsidR="009F306D" w:rsidRDefault="00BA0B51" w:rsidP="00D36C42">
      <w:pPr>
        <w:spacing w:before="120" w:beforeAutospacing="0" w:after="120" w:afterAutospacing="0"/>
      </w:pPr>
      <w:r>
        <w:t>Unikátní t</w:t>
      </w:r>
      <w:r w:rsidR="009F306D">
        <w:t>echnologi</w:t>
      </w:r>
      <w:r>
        <w:t xml:space="preserve">i </w:t>
      </w:r>
      <w:r w:rsidR="009F306D">
        <w:t xml:space="preserve">začal vyvíjet tým vědců zhruba před dvěma roky. </w:t>
      </w:r>
      <w:r w:rsidR="009F306D" w:rsidRPr="00D36C42">
        <w:rPr>
          <w:i/>
          <w:iCs/>
        </w:rPr>
        <w:t>„</w:t>
      </w:r>
      <w:r w:rsidR="0036069F" w:rsidRPr="00D36C42">
        <w:rPr>
          <w:i/>
          <w:iCs/>
        </w:rPr>
        <w:t>Kvalitní práce našich vědeckých pracovníků nyní nachází své uplatnění v reálném životě. Navazujeme tak na naše předchozí úspěšné transfery výsledků základního výzkumu do praxe. Věřím, že se díky této technologii z ÚMCH výrazně zjednoduší provádění imunochemických analýz,“</w:t>
      </w:r>
      <w:bookmarkStart w:id="3" w:name="_GoBack"/>
      <w:r w:rsidR="0036069F" w:rsidRPr="00763F91">
        <w:rPr>
          <w:iCs/>
        </w:rPr>
        <w:t xml:space="preserve"> </w:t>
      </w:r>
      <w:r w:rsidR="00763F91" w:rsidRPr="00763F91">
        <w:rPr>
          <w:iCs/>
        </w:rPr>
        <w:t>říká</w:t>
      </w:r>
      <w:r w:rsidR="00763F91">
        <w:rPr>
          <w:i/>
          <w:iCs/>
        </w:rPr>
        <w:t xml:space="preserve"> </w:t>
      </w:r>
      <w:bookmarkEnd w:id="3"/>
      <w:r w:rsidR="002E2140">
        <w:t>Jiří Kotek, ředitel Ústavu makromolekulární chemie AV ČR.</w:t>
      </w:r>
    </w:p>
    <w:p w14:paraId="5518DAA1" w14:textId="2483C325" w:rsidR="00C77E0F" w:rsidRDefault="004E7A68" w:rsidP="0041540B">
      <w:pPr>
        <w:spacing w:before="120" w:beforeAutospacing="0" w:after="120" w:afterAutospacing="0"/>
      </w:pPr>
      <w:r>
        <w:t xml:space="preserve">Technologie firmy Sophomer najde uplatnění všude tam, kde je základním pracovním nástrojem imunochemická analýza. Má potenciál značně pomoci v biochemických laboratořích, při vývoji In </w:t>
      </w:r>
      <w:proofErr w:type="gramStart"/>
      <w:r>
        <w:t>Vitro  diagnostických</w:t>
      </w:r>
      <w:proofErr w:type="gramEnd"/>
      <w:r>
        <w:t xml:space="preserve"> prostředků, při monitorování kontaminací v životním prostředí, v potravinářských laboratořích při stanovování obsahu alergenů, či v imunochemických testech ve veterinárních laboratořích. </w:t>
      </w:r>
    </w:p>
    <w:p w14:paraId="41D11D96" w14:textId="36A9954A" w:rsidR="004E7A68" w:rsidRDefault="004E7A68" w:rsidP="0041540B">
      <w:pPr>
        <w:spacing w:before="120" w:beforeAutospacing="0" w:after="120" w:afterAutospacing="0"/>
      </w:pPr>
      <w:r w:rsidRPr="00D36C42">
        <w:rPr>
          <w:i/>
          <w:iCs/>
        </w:rPr>
        <w:t>„Naše ambice s</w:t>
      </w:r>
      <w:r w:rsidR="0012578A">
        <w:rPr>
          <w:i/>
          <w:iCs/>
        </w:rPr>
        <w:t> </w:t>
      </w:r>
      <w:r w:rsidRPr="00D36C42">
        <w:rPr>
          <w:i/>
          <w:iCs/>
        </w:rPr>
        <w:t>postupujícím výzkumem stále rostou, ale hlavní idea zůstává stejná: zrychlit, usnadnit a</w:t>
      </w:r>
      <w:r w:rsidR="0012578A">
        <w:rPr>
          <w:i/>
          <w:iCs/>
        </w:rPr>
        <w:t> </w:t>
      </w:r>
      <w:r w:rsidRPr="00D36C42">
        <w:rPr>
          <w:i/>
          <w:iCs/>
        </w:rPr>
        <w:t>do značné míry také zlevnit práci našim kolegům vývojářům a výzkumníkům. Chceme, aby se mohli bez rozptylování soustředit na vlastní nápady a výzvy, které jejich náročná, nesmírně důležitá a pro veřejnost zároveň málo viditelná práce přináší,“</w:t>
      </w:r>
      <w:r>
        <w:t xml:space="preserve"> dodává Martin Burkhard</w:t>
      </w:r>
      <w:r w:rsidR="002F2600">
        <w:t xml:space="preserve"> z </w:t>
      </w:r>
      <w:r>
        <w:t>firmy Sophomer.</w:t>
      </w:r>
    </w:p>
    <w:p w14:paraId="5C4076B2" w14:textId="77777777" w:rsidR="0012578A" w:rsidRPr="00442C11" w:rsidRDefault="0012578A" w:rsidP="0012578A">
      <w:pPr>
        <w:spacing w:before="120" w:beforeAutospacing="0" w:after="120" w:afterAutospacing="0"/>
        <w:rPr>
          <w:b/>
          <w:bCs/>
        </w:rPr>
      </w:pPr>
      <w:r w:rsidRPr="00442C11">
        <w:rPr>
          <w:b/>
          <w:bCs/>
        </w:rPr>
        <w:t>Výroba bez rizika</w:t>
      </w:r>
    </w:p>
    <w:p w14:paraId="7246E17E" w14:textId="22D117A5" w:rsidR="00D03C1F" w:rsidRDefault="00D03C1F" w:rsidP="0041540B">
      <w:pPr>
        <w:spacing w:before="120" w:beforeAutospacing="0" w:after="120" w:afterAutospacing="0"/>
      </w:pPr>
      <w:r>
        <w:t xml:space="preserve">BSA </w:t>
      </w:r>
      <w:r w:rsidR="006D5BA7">
        <w:t>–</w:t>
      </w:r>
      <w:r w:rsidR="00435A7B">
        <w:t xml:space="preserve"> </w:t>
      </w:r>
      <w:r w:rsidR="006D5BA7">
        <w:t xml:space="preserve">bovinní sérový albumin – </w:t>
      </w:r>
      <w:r>
        <w:t>je jeden z nejstarších průmyslově získávaných proteinů. Při imunologických testech se primárně využívá jako blokátor, který díky potlačování nechtěných signálů zpřesňuje prováděná měření. Získává se z hovězího séra, což s sebou nese celou řadu problémů. Mezi ně patří i riziko přenosu patogenů, díky čemuž se musí tento materiál důsledně a nákladně testovat a</w:t>
      </w:r>
      <w:r w:rsidR="006D5BA7">
        <w:t> </w:t>
      </w:r>
      <w:r>
        <w:t>jeho využívání je podmíněno certifikací, která potvrdí jeho nezávadnost.</w:t>
      </w:r>
    </w:p>
    <w:p w14:paraId="24459576" w14:textId="5777B803" w:rsidR="00D03C1F" w:rsidRDefault="00D03C1F" w:rsidP="00D36C42">
      <w:pPr>
        <w:spacing w:before="120" w:beforeAutospacing="0" w:after="120" w:afterAutospacing="0"/>
      </w:pPr>
      <w:r w:rsidRPr="00D36C42">
        <w:rPr>
          <w:i/>
          <w:iCs/>
        </w:rPr>
        <w:lastRenderedPageBreak/>
        <w:t>„Při využití naší technologie nic podobného logicky nehrozí, neboť náš produkt je plně syntetický. Díky tomu odpadají i další problémy, ať už jde o kolísavost při reprodukci výroby, relativně vysokou cenu, která s požadavkem vyšší čistoty ještě roste či složitou likvidaci materiálu. Nezanedbatelný je i etický aspekt celé věci,“</w:t>
      </w:r>
      <w:r>
        <w:t xml:space="preserve"> říká Jan Plicka z Elisa Development a přední odborník v oblasti vývoje diagnostických prostředků.</w:t>
      </w:r>
    </w:p>
    <w:p w14:paraId="233E712C" w14:textId="77777777" w:rsidR="00907E71" w:rsidRPr="00442C11" w:rsidRDefault="00907E71" w:rsidP="00D36C42">
      <w:pPr>
        <w:spacing w:before="120" w:beforeAutospacing="0" w:after="120" w:afterAutospacing="0"/>
        <w:rPr>
          <w:b/>
          <w:bCs/>
        </w:rPr>
      </w:pPr>
      <w:r w:rsidRPr="00442C11">
        <w:rPr>
          <w:b/>
          <w:bCs/>
        </w:rPr>
        <w:t>Ukázkový transfer technologií</w:t>
      </w:r>
    </w:p>
    <w:p w14:paraId="2DBA1BDC" w14:textId="77777777" w:rsidR="006D5BA7" w:rsidRDefault="00D03C1F" w:rsidP="00D36C42">
      <w:pPr>
        <w:spacing w:before="120" w:beforeAutospacing="0" w:after="120" w:afterAutospacing="0"/>
      </w:pPr>
      <w:r>
        <w:t xml:space="preserve">Vznik startupu Sophomer je ukázkovým příkladem transferu technologií a propojení vědy s průmyslem. </w:t>
      </w:r>
      <w:r w:rsidRPr="00D36C42">
        <w:rPr>
          <w:i/>
          <w:iCs/>
        </w:rPr>
        <w:t xml:space="preserve">„Na začátku celého příběhu stála potřeba výrobců diagnostických testů, kterou jsme dokázali díky síti našich kontaktů identifikovat. Poté jsme na akademické půdě hledali technologii vhodnou pro řešení této potřeby. Vhodnou technologii jsme našli na půdě Ústavu makromolekulární chemie, a po úspěšných ověřovacích testech jsme sestavili společný vývojový tým,“ </w:t>
      </w:r>
      <w:r>
        <w:t xml:space="preserve">říká Jiří Moos z bio-inovačního centra i&amp;i Prague, které stojí u projektu od samotného začátku. </w:t>
      </w:r>
    </w:p>
    <w:p w14:paraId="0CEEDCBC" w14:textId="0D285F84" w:rsidR="00D03C1F" w:rsidRDefault="00D03C1F" w:rsidP="0041540B">
      <w:pPr>
        <w:spacing w:before="120" w:beforeAutospacing="0" w:after="120" w:afterAutospacing="0"/>
      </w:pPr>
      <w:r>
        <w:t xml:space="preserve">Kromě dalšího se i&amp;i Prague účastnil také vzniku startupu, který se zařadil do portfolia tohoto bio-inovačního centra. </w:t>
      </w:r>
      <w:r w:rsidRPr="00D36C42">
        <w:rPr>
          <w:i/>
          <w:iCs/>
        </w:rPr>
        <w:t>„V současnosti pomáháme hledat zákazníky pro vyvinutý polymer Sophomer F10, a</w:t>
      </w:r>
      <w:r w:rsidR="006D5BA7">
        <w:rPr>
          <w:i/>
          <w:iCs/>
        </w:rPr>
        <w:t> </w:t>
      </w:r>
      <w:r w:rsidRPr="00D36C42">
        <w:rPr>
          <w:i/>
          <w:iCs/>
        </w:rPr>
        <w:t xml:space="preserve">zároveň pokračujeme ve společném vývoji dalších produktů. Na dobré cestě je i zprostředkování první investice, která pomůže nastartovat činnost firmy,“ </w:t>
      </w:r>
      <w:r>
        <w:t xml:space="preserve">dodává Jiří Moos. </w:t>
      </w:r>
    </w:p>
    <w:p w14:paraId="297CB2FF" w14:textId="77777777" w:rsidR="003E368B" w:rsidRDefault="003E368B" w:rsidP="00D36C42">
      <w:pPr>
        <w:spacing w:before="120" w:beforeAutospacing="0" w:after="120" w:afterAutospacing="0"/>
      </w:pPr>
    </w:p>
    <w:p w14:paraId="20DA5877" w14:textId="5935A101" w:rsidR="008B0C81" w:rsidRDefault="008B0C81" w:rsidP="008B0C81">
      <w:pPr>
        <w:pStyle w:val="Vceinformac"/>
      </w:pPr>
      <w:r>
        <w:t>Více informací</w:t>
      </w:r>
      <w:r w:rsidRPr="001D7480">
        <w:t>:</w:t>
      </w:r>
      <w:r w:rsidRPr="001D7480">
        <w:tab/>
      </w:r>
      <w:r w:rsidR="00EE4361" w:rsidRPr="00EE4361">
        <w:rPr>
          <w:b/>
          <w:bCs/>
        </w:rPr>
        <w:t>Martin Kovalčík</w:t>
      </w:r>
      <w:r w:rsidRPr="00F62271">
        <w:br/>
      </w:r>
      <w:r w:rsidR="00535943" w:rsidRPr="00535943">
        <w:t xml:space="preserve">i&amp;i Prague </w:t>
      </w:r>
      <w:r w:rsidR="00C101E1" w:rsidRPr="00F62271">
        <w:t xml:space="preserve"> </w:t>
      </w:r>
      <w:r w:rsidRPr="00F62271">
        <w:br/>
      </w:r>
      <w:r w:rsidR="00C101E1" w:rsidRPr="00C101E1">
        <w:t>kovalcik@iniprague.com</w:t>
      </w:r>
      <w:r w:rsidR="00C101E1">
        <w:t xml:space="preserve"> </w:t>
      </w:r>
      <w:r>
        <w:br/>
      </w:r>
      <w:r w:rsidRPr="001D7480">
        <w:t xml:space="preserve">+420 </w:t>
      </w:r>
      <w:r w:rsidR="001C6478" w:rsidRPr="001C6478">
        <w:t>777 472 863</w:t>
      </w:r>
      <w:r>
        <w:br/>
      </w:r>
    </w:p>
    <w:p w14:paraId="73809B14" w14:textId="131D6544" w:rsidR="00716BC1" w:rsidRDefault="008B0C81" w:rsidP="00716BC1">
      <w:pPr>
        <w:pStyle w:val="Vceinformac"/>
      </w:pPr>
      <w:r>
        <w:t>Fotogalerie:</w:t>
      </w:r>
      <w:r>
        <w:tab/>
      </w:r>
      <w:r w:rsidR="00716BC1" w:rsidRPr="00716BC1">
        <w:t xml:space="preserve">https://wetransfer.com/downloads/efa4908694cf815e2ecfd10c92672c7b20230206072532/697f5f165a69e9de0953b1c81f1ffb6420230206072605/9f74f5?trk=TRN_TDL_01&amp;utm_campaign=TRN_TDL_01&amp;utm_medium=email&amp;utm_source=sendgrid </w:t>
      </w:r>
    </w:p>
    <w:p w14:paraId="089E92AD" w14:textId="77777777" w:rsidR="00781144" w:rsidRPr="00D36C42" w:rsidRDefault="00781144" w:rsidP="00781144">
      <w:pPr>
        <w:rPr>
          <w:rFonts w:cs="Times New Roman"/>
          <w:color w:val="0974BD"/>
          <w:sz w:val="18"/>
          <w:szCs w:val="18"/>
        </w:rPr>
      </w:pPr>
      <w:r w:rsidRPr="00D36C42">
        <w:rPr>
          <w:rFonts w:cs="Times New Roman"/>
          <w:color w:val="0974BD"/>
          <w:sz w:val="18"/>
          <w:szCs w:val="18"/>
        </w:rPr>
        <w:t>Další informace:</w:t>
      </w:r>
    </w:p>
    <w:p w14:paraId="1C80D03B" w14:textId="0305CA7B" w:rsidR="00781144" w:rsidRPr="00D36C42" w:rsidRDefault="00781144" w:rsidP="00D36C42">
      <w:pPr>
        <w:rPr>
          <w:i/>
          <w:iCs/>
          <w:sz w:val="18"/>
          <w:szCs w:val="18"/>
        </w:rPr>
      </w:pPr>
      <w:r w:rsidRPr="00D36C42">
        <w:rPr>
          <w:b/>
          <w:bCs/>
          <w:i/>
          <w:iCs/>
          <w:sz w:val="18"/>
          <w:szCs w:val="18"/>
        </w:rPr>
        <w:t>Sophomer, s.r.o.</w:t>
      </w:r>
      <w:r w:rsidR="006D5BA7" w:rsidRPr="00D36C42">
        <w:rPr>
          <w:b/>
          <w:bCs/>
          <w:i/>
          <w:iCs/>
          <w:sz w:val="18"/>
          <w:szCs w:val="18"/>
        </w:rPr>
        <w:br/>
      </w:r>
      <w:r w:rsidRPr="00D36C42">
        <w:rPr>
          <w:i/>
          <w:iCs/>
          <w:sz w:val="18"/>
          <w:szCs w:val="18"/>
        </w:rPr>
        <w:t xml:space="preserve">Sophomer s.r.o. je akademický startup založený skupinou lidí, kteří pocházejí jak z oblasti průmyslu, tak i z akademické sféry. Jejich vizí je spojit dva zdánlivě nesouvisející obory: imunologickou analýzu a chemii polymerů a pomoci všem, kdo při své práci využívají imunochemické testy. Jedním z prvních a široce aplikovatelných produktů tohoto startupu je materiál </w:t>
      </w:r>
      <w:proofErr w:type="gramStart"/>
      <w:r w:rsidRPr="00D36C42">
        <w:rPr>
          <w:i/>
          <w:iCs/>
          <w:sz w:val="18"/>
          <w:szCs w:val="18"/>
        </w:rPr>
        <w:t>SophoMer(</w:t>
      </w:r>
      <w:proofErr w:type="gramEnd"/>
      <w:r w:rsidRPr="00D36C42">
        <w:rPr>
          <w:i/>
          <w:iCs/>
          <w:sz w:val="18"/>
          <w:szCs w:val="18"/>
        </w:rPr>
        <w:t xml:space="preserve">TM). Jedná se o polymer, který dokáže nahradit v imunochemických testech široce používaný bovinní sérový albumin, v současné době složku, bez níž je vývoj imunologické analytiky zdánlivě nepředstavitelný. </w:t>
      </w:r>
      <w:r w:rsidR="006D5BA7" w:rsidRPr="00D36C42">
        <w:rPr>
          <w:i/>
          <w:iCs/>
          <w:sz w:val="18"/>
          <w:szCs w:val="18"/>
        </w:rPr>
        <w:br/>
      </w:r>
      <w:r w:rsidRPr="00D36C42">
        <w:rPr>
          <w:i/>
          <w:iCs/>
          <w:sz w:val="18"/>
          <w:szCs w:val="18"/>
        </w:rPr>
        <w:t xml:space="preserve">Více na </w:t>
      </w:r>
      <w:hyperlink r:id="rId14" w:history="1">
        <w:r w:rsidRPr="00D36C42">
          <w:rPr>
            <w:rStyle w:val="Hypertextovodkaz"/>
            <w:i/>
            <w:iCs/>
            <w:sz w:val="18"/>
            <w:szCs w:val="18"/>
          </w:rPr>
          <w:t>www.sophomer.com</w:t>
        </w:r>
      </w:hyperlink>
      <w:r w:rsidRPr="00D36C42">
        <w:rPr>
          <w:i/>
          <w:iCs/>
          <w:sz w:val="18"/>
          <w:szCs w:val="18"/>
        </w:rPr>
        <w:t xml:space="preserve">. </w:t>
      </w:r>
    </w:p>
    <w:p w14:paraId="68885D94" w14:textId="2EBFEF57" w:rsidR="00781144" w:rsidRPr="00D36C42" w:rsidRDefault="00781144" w:rsidP="00781144">
      <w:pPr>
        <w:rPr>
          <w:i/>
          <w:iCs/>
          <w:sz w:val="18"/>
          <w:szCs w:val="18"/>
        </w:rPr>
      </w:pPr>
      <w:r w:rsidRPr="00D36C42">
        <w:rPr>
          <w:b/>
          <w:bCs/>
          <w:i/>
          <w:iCs/>
          <w:sz w:val="18"/>
          <w:szCs w:val="18"/>
        </w:rPr>
        <w:t>Ústav makromolekulární chemie AV ČR, v. v. i. (ÚMCH)</w:t>
      </w:r>
      <w:r w:rsidR="006D5BA7" w:rsidRPr="00D36C42">
        <w:rPr>
          <w:b/>
          <w:bCs/>
          <w:i/>
          <w:iCs/>
          <w:sz w:val="18"/>
          <w:szCs w:val="18"/>
        </w:rPr>
        <w:br/>
      </w:r>
      <w:r w:rsidRPr="00D36C42">
        <w:rPr>
          <w:i/>
          <w:iCs/>
          <w:sz w:val="18"/>
          <w:szCs w:val="18"/>
        </w:rPr>
        <w:t xml:space="preserve">Ústav makromolekulární chemie AV ČR, v. v. i. (ÚMCH) představuje největší výzkumnou instituci v oblasti výzkumu polymerů a polymerních materiálů v České republice. V dané oblasti se řadí i mezi nejvýznamnější centra akademického výzkumu ve světě. ÚMCH disponuje znalostním potenciálem více než 120 vědeckých pracovníků jak v klíčových oborech makromolekulární chemie, fyzikální chemie a fyziky polymerů, tak v oborech navazujících, např. biochemii nebo biomedicínském či materiálovém inženýrství.  I když je ústav primárně zaměřen na základní výzkum, úzce spolupracuje také s aplikační sférou, jak dokládá celá řada v praxi aplikovaných výsledků základního výzkumu. </w:t>
      </w:r>
      <w:r w:rsidR="006D5BA7" w:rsidRPr="00D36C42">
        <w:rPr>
          <w:i/>
          <w:iCs/>
          <w:sz w:val="18"/>
          <w:szCs w:val="18"/>
        </w:rPr>
        <w:br/>
      </w:r>
      <w:r w:rsidRPr="00D36C42">
        <w:rPr>
          <w:i/>
          <w:iCs/>
          <w:sz w:val="18"/>
          <w:szCs w:val="18"/>
        </w:rPr>
        <w:t xml:space="preserve">Více se dozvíte zde: </w:t>
      </w:r>
      <w:hyperlink r:id="rId15" w:history="1">
        <w:r w:rsidRPr="00D36C42">
          <w:rPr>
            <w:rStyle w:val="Hypertextovodkaz"/>
            <w:i/>
            <w:iCs/>
            <w:sz w:val="18"/>
            <w:szCs w:val="18"/>
          </w:rPr>
          <w:t>www.imc.cas.cz/cs</w:t>
        </w:r>
      </w:hyperlink>
      <w:r w:rsidRPr="00D36C42">
        <w:rPr>
          <w:i/>
          <w:iCs/>
          <w:sz w:val="18"/>
          <w:szCs w:val="18"/>
        </w:rPr>
        <w:t>.</w:t>
      </w:r>
    </w:p>
    <w:p w14:paraId="68A7DE74" w14:textId="77777777" w:rsidR="006D5BA7" w:rsidRPr="00D36C42" w:rsidRDefault="00781144" w:rsidP="00D36C42">
      <w:pPr>
        <w:spacing w:before="0" w:beforeAutospacing="0" w:after="0" w:afterAutospacing="0"/>
        <w:jc w:val="both"/>
        <w:rPr>
          <w:b/>
          <w:bCs/>
          <w:i/>
          <w:iCs/>
          <w:sz w:val="18"/>
          <w:szCs w:val="18"/>
        </w:rPr>
      </w:pPr>
      <w:r w:rsidRPr="00D36C42">
        <w:rPr>
          <w:b/>
          <w:bCs/>
          <w:i/>
          <w:iCs/>
          <w:sz w:val="18"/>
          <w:szCs w:val="18"/>
        </w:rPr>
        <w:t>Bio-inovační centrum i&amp;i Prague</w:t>
      </w:r>
    </w:p>
    <w:p w14:paraId="70926F6C" w14:textId="5ABCA6C4" w:rsidR="00781144" w:rsidRPr="00D36C42" w:rsidRDefault="00781144" w:rsidP="00D36C42">
      <w:pPr>
        <w:spacing w:before="0" w:beforeAutospacing="0" w:after="0" w:afterAutospacing="0"/>
        <w:jc w:val="both"/>
        <w:rPr>
          <w:i/>
          <w:iCs/>
          <w:sz w:val="18"/>
          <w:szCs w:val="18"/>
        </w:rPr>
      </w:pPr>
      <w:r w:rsidRPr="00D36C42">
        <w:rPr>
          <w:i/>
          <w:iCs/>
          <w:sz w:val="18"/>
          <w:szCs w:val="18"/>
        </w:rPr>
        <w:t xml:space="preserve">Bio-inovační centrum i&amp;i Prague se zaměřuje na přenos nových technologií do praxe. Společnost vznikla při Ústavu organické chemie a biochemie AV ČR a věnuje se především inovacím v oblasti vývoje léčiv, diagnostiky a lékařských prostředků pocházejících z akademických institucí. Podporuje vytváření spin-off společností a prodej licencí. Dosud </w:t>
      </w:r>
      <w:r w:rsidRPr="00D36C42">
        <w:rPr>
          <w:i/>
          <w:iCs/>
          <w:sz w:val="18"/>
          <w:szCs w:val="18"/>
        </w:rPr>
        <w:lastRenderedPageBreak/>
        <w:t>se společnost podílela na vzniku nebo jinak podpořila 15 spin-off společností z 5 zemí, má majetkový podíl v 9 z nich a investovala již přes 70 milionů korun. Celkově však spin-</w:t>
      </w:r>
      <w:proofErr w:type="spellStart"/>
      <w:r w:rsidRPr="00D36C42">
        <w:rPr>
          <w:i/>
          <w:iCs/>
          <w:sz w:val="18"/>
          <w:szCs w:val="18"/>
        </w:rPr>
        <w:t>offy</w:t>
      </w:r>
      <w:proofErr w:type="spellEnd"/>
      <w:r w:rsidRPr="00D36C42">
        <w:rPr>
          <w:i/>
          <w:iCs/>
          <w:sz w:val="18"/>
          <w:szCs w:val="18"/>
        </w:rPr>
        <w:t xml:space="preserve"> v portfoliu </w:t>
      </w:r>
      <w:proofErr w:type="spellStart"/>
      <w:r w:rsidRPr="00D36C42">
        <w:rPr>
          <w:i/>
          <w:iCs/>
          <w:sz w:val="18"/>
          <w:szCs w:val="18"/>
        </w:rPr>
        <w:t>i&amp;i</w:t>
      </w:r>
      <w:proofErr w:type="spellEnd"/>
      <w:r w:rsidRPr="00D36C42">
        <w:rPr>
          <w:i/>
          <w:iCs/>
          <w:sz w:val="18"/>
          <w:szCs w:val="18"/>
        </w:rPr>
        <w:t xml:space="preserve"> Prague získaly od dalších investorů už více než 1,8 miliardy korun. Vedle přímých finančních investic pomáhá i&amp;i Prague také při komercializaci inovativních technologií více než 15 výzkumným institucím a univerzitám v ČR i zahraničí. V roce 2021 stál i&amp;i Prague u zrodu investičního fondu i&amp;i Bio. </w:t>
      </w:r>
    </w:p>
    <w:p w14:paraId="3CC9684A" w14:textId="5F83EE03" w:rsidR="00781144" w:rsidRDefault="00781144" w:rsidP="003E368B">
      <w:pPr>
        <w:spacing w:before="0" w:beforeAutospacing="0" w:after="0" w:afterAutospacing="0"/>
        <w:jc w:val="both"/>
        <w:rPr>
          <w:i/>
          <w:iCs/>
          <w:sz w:val="18"/>
          <w:szCs w:val="18"/>
        </w:rPr>
      </w:pPr>
      <w:r w:rsidRPr="00D36C42">
        <w:rPr>
          <w:i/>
          <w:iCs/>
          <w:sz w:val="18"/>
          <w:szCs w:val="18"/>
        </w:rPr>
        <w:t xml:space="preserve">Více se dozvíte zde: </w:t>
      </w:r>
      <w:hyperlink r:id="rId16" w:history="1">
        <w:r w:rsidRPr="00D36C42">
          <w:rPr>
            <w:rStyle w:val="Hypertextovodkaz"/>
            <w:i/>
            <w:iCs/>
            <w:sz w:val="18"/>
            <w:szCs w:val="18"/>
          </w:rPr>
          <w:t>www.iniprague.com</w:t>
        </w:r>
      </w:hyperlink>
      <w:r w:rsidRPr="00D36C42">
        <w:rPr>
          <w:i/>
          <w:iCs/>
          <w:sz w:val="18"/>
          <w:szCs w:val="18"/>
        </w:rPr>
        <w:t xml:space="preserve">. </w:t>
      </w:r>
    </w:p>
    <w:p w14:paraId="634ECF24" w14:textId="77777777" w:rsidR="003E368B" w:rsidRPr="00D36C42" w:rsidRDefault="003E368B" w:rsidP="00D36C42">
      <w:pPr>
        <w:spacing w:before="0" w:beforeAutospacing="0" w:after="0" w:afterAutospacing="0"/>
        <w:jc w:val="both"/>
        <w:rPr>
          <w:i/>
          <w:iCs/>
          <w:sz w:val="18"/>
          <w:szCs w:val="18"/>
        </w:rPr>
      </w:pPr>
    </w:p>
    <w:p w14:paraId="57A5E0C3" w14:textId="77777777" w:rsidR="00781144" w:rsidRPr="00D36C42" w:rsidRDefault="00781144" w:rsidP="00D36C42">
      <w:pPr>
        <w:spacing w:before="0" w:beforeAutospacing="0" w:after="0" w:afterAutospacing="0"/>
        <w:rPr>
          <w:b/>
          <w:bCs/>
          <w:i/>
          <w:iCs/>
          <w:sz w:val="18"/>
          <w:szCs w:val="18"/>
        </w:rPr>
      </w:pPr>
      <w:r w:rsidRPr="00D36C42">
        <w:rPr>
          <w:b/>
          <w:bCs/>
          <w:i/>
          <w:iCs/>
          <w:sz w:val="18"/>
          <w:szCs w:val="18"/>
        </w:rPr>
        <w:t>Elisa Development, s.r.o.</w:t>
      </w:r>
    </w:p>
    <w:p w14:paraId="11AC7A96" w14:textId="77777777" w:rsidR="00781144" w:rsidRPr="00D36C42" w:rsidRDefault="00781144" w:rsidP="00D36C42">
      <w:pPr>
        <w:spacing w:before="0" w:beforeAutospacing="0" w:after="0" w:afterAutospacing="0"/>
        <w:jc w:val="both"/>
        <w:rPr>
          <w:i/>
          <w:iCs/>
          <w:sz w:val="18"/>
          <w:szCs w:val="18"/>
        </w:rPr>
      </w:pPr>
      <w:r w:rsidRPr="00D36C42">
        <w:rPr>
          <w:i/>
          <w:iCs/>
          <w:sz w:val="18"/>
          <w:szCs w:val="18"/>
        </w:rPr>
        <w:t xml:space="preserve">Společnost Elisa Development ve spolupráci s Výzkumným ústavem potravinářským Praha v minulosti vyvinula a uvedla na trh několik imunoanalytických souprav formátu ELISA určených ke kvantitativní detekci potravinových alergenů v potravinách a v potravinových surovinách. Během tohoto vývoje pracovníci společnosti nejednou čelili problému s proměnlivou kvalitou BSA, který se velmi často používá jako blokátor nespecifických interakcí. Tyto problémy pak byly impulsem k myšlence náhrady BSA získávaného z hovězího séra syntetickým polymerem, což vedlo k oslovení společnosti i&amp;i Prague a následně ke spolupráci s Ústavem makromolekulární chemie. </w:t>
      </w:r>
    </w:p>
    <w:p w14:paraId="27CA43E8" w14:textId="643E4CC0" w:rsidR="008B0C81" w:rsidRPr="00D36C42" w:rsidRDefault="008B0C81" w:rsidP="008B0C81">
      <w:pPr>
        <w:rPr>
          <w:i/>
          <w:iCs/>
        </w:rPr>
      </w:pPr>
    </w:p>
    <w:p w14:paraId="7DDB86C0" w14:textId="77777777" w:rsidR="008B0C81" w:rsidRPr="001D7480" w:rsidRDefault="008B0C81" w:rsidP="008B0C81">
      <w:pPr>
        <w:pStyle w:val="Normlnweb"/>
      </w:pPr>
    </w:p>
    <w:p w14:paraId="6AE1AC09" w14:textId="77777777" w:rsidR="00EB7383" w:rsidRDefault="00EB7383"/>
    <w:sectPr w:rsidR="00EB7383" w:rsidSect="0071586E">
      <w:footerReference w:type="default" r:id="rId17"/>
      <w:type w:val="continuous"/>
      <w:pgSz w:w="11906" w:h="16838"/>
      <w:pgMar w:top="1135" w:right="1417" w:bottom="2552" w:left="1417" w:header="851" w:footer="141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6560" w16cex:dateUtc="2023-02-06T10:39:00Z"/>
  <w16cex:commentExtensible w16cex:durableId="278B6610" w16cex:dateUtc="2023-02-06T10: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9BB82" w14:textId="77777777" w:rsidR="00D567AE" w:rsidRDefault="00D567AE">
      <w:pPr>
        <w:spacing w:before="0" w:after="0"/>
      </w:pPr>
      <w:r>
        <w:separator/>
      </w:r>
    </w:p>
  </w:endnote>
  <w:endnote w:type="continuationSeparator" w:id="0">
    <w:p w14:paraId="13EA29C2" w14:textId="77777777" w:rsidR="00D567AE" w:rsidRDefault="00D567AE">
      <w:pPr>
        <w:spacing w:before="0" w:after="0"/>
      </w:pPr>
      <w:r>
        <w:continuationSeparator/>
      </w:r>
    </w:p>
  </w:endnote>
  <w:endnote w:type="continuationNotice" w:id="1">
    <w:p w14:paraId="4AAEF6CA" w14:textId="77777777" w:rsidR="00D567AE" w:rsidRDefault="00D567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tiva Sans">
    <w:altName w:val="Calibri"/>
    <w:charset w:val="EE"/>
    <w:family w:val="auto"/>
    <w:pitch w:val="variable"/>
    <w:sig w:usb0="20000007" w:usb1="02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95AA" w14:textId="77777777" w:rsidR="00A7467B" w:rsidRPr="00301D45" w:rsidRDefault="008B0C81" w:rsidP="00301D45">
    <w:pPr>
      <w:pStyle w:val="Kontakt"/>
      <w:rPr>
        <w:b/>
      </w:rPr>
    </w:pPr>
    <w:r w:rsidRPr="006B02B7">
      <w:tab/>
      <w:t xml:space="preserve">Kontakt pro média: </w:t>
    </w:r>
    <w:r w:rsidRPr="006B02B7">
      <w:tab/>
    </w:r>
    <w:r w:rsidRPr="00301D45">
      <w:rPr>
        <w:b/>
      </w:rPr>
      <w:t>Markéta Růžičková</w:t>
    </w:r>
    <w:r w:rsidRPr="006B02B7">
      <w:t xml:space="preserve"> </w:t>
    </w:r>
    <w:r w:rsidRPr="006B02B7">
      <w:tab/>
    </w:r>
    <w:r w:rsidRPr="00301D45">
      <w:rPr>
        <w:b/>
      </w:rPr>
      <w:t xml:space="preserve">Pavla </w:t>
    </w:r>
    <w:proofErr w:type="spellStart"/>
    <w:r w:rsidRPr="00301D45">
      <w:rPr>
        <w:b/>
      </w:rPr>
      <w:t>Schieblová</w:t>
    </w:r>
    <w:proofErr w:type="spellEnd"/>
  </w:p>
  <w:p w14:paraId="60076828" w14:textId="77777777" w:rsidR="00A7467B" w:rsidRPr="006B02B7" w:rsidRDefault="008B0C81" w:rsidP="00301D45">
    <w:pPr>
      <w:pStyle w:val="Kontakt"/>
    </w:pPr>
    <w:r w:rsidRPr="006B02B7">
      <w:tab/>
    </w:r>
    <w:r w:rsidRPr="006B02B7">
      <w:tab/>
      <w:t xml:space="preserve">Divize vnějších vztahů SSČ AV ČR </w:t>
    </w:r>
    <w:r w:rsidRPr="006B02B7">
      <w:tab/>
      <w:t>Ústav přístrojové techniky AV ČR</w:t>
    </w:r>
  </w:p>
  <w:p w14:paraId="1733B8BA" w14:textId="2B81402C" w:rsidR="00A7467B" w:rsidRPr="006B02B7" w:rsidRDefault="008B0C81" w:rsidP="00301D45">
    <w:pPr>
      <w:pStyle w:val="Kontakt"/>
    </w:pPr>
    <w:r w:rsidRPr="006B02B7">
      <w:tab/>
    </w:r>
    <w:r w:rsidRPr="006B02B7">
      <w:tab/>
    </w:r>
    <w:r>
      <w:t>press</w:t>
    </w:r>
    <w:r w:rsidRPr="006B02B7">
      <w:t>@</w:t>
    </w:r>
    <w:r w:rsidR="006A0C95">
      <w:t>avcr.cz</w:t>
    </w:r>
    <w:r w:rsidRPr="006B02B7">
      <w:tab/>
      <w:t>schieblova@isibrno.cz</w:t>
    </w:r>
  </w:p>
  <w:p w14:paraId="36426427" w14:textId="77777777" w:rsidR="00D84411" w:rsidRPr="00301D45" w:rsidRDefault="008B0C81" w:rsidP="00301D45">
    <w:pPr>
      <w:pStyle w:val="Kontakt"/>
    </w:pPr>
    <w:r w:rsidRPr="006B02B7">
      <w:tab/>
    </w:r>
    <w:r w:rsidRPr="00301D45">
      <w:tab/>
      <w:t>+420</w:t>
    </w:r>
    <w:r w:rsidRPr="00301D45">
      <w:rPr>
        <w:rFonts w:ascii="Cambria" w:hAnsi="Cambria" w:cs="Cambria"/>
      </w:rPr>
      <w:t> </w:t>
    </w:r>
    <w:r w:rsidRPr="00301D45">
      <w:t>777 97 0812</w:t>
    </w:r>
    <w:r w:rsidRPr="00301D45">
      <w:tab/>
      <w:t>+420 734 218</w:t>
    </w:r>
    <w:r w:rsidRPr="00301D45">
      <w:rPr>
        <w:rFonts w:ascii="Cambria" w:hAnsi="Cambria" w:cs="Cambria"/>
      </w:rPr>
      <w:t> </w:t>
    </w:r>
    <w:r w:rsidRPr="00301D45">
      <w:t>279</w:t>
    </w:r>
    <w:r w:rsidRPr="00301D45">
      <w:tab/>
    </w:r>
    <w:r w:rsidRPr="00301D45">
      <w:fldChar w:fldCharType="begin"/>
    </w:r>
    <w:r w:rsidRPr="00301D45">
      <w:instrText>PAGE   \* MERGEFORMAT</w:instrText>
    </w:r>
    <w:r w:rsidRPr="00301D45">
      <w:fldChar w:fldCharType="separate"/>
    </w:r>
    <w:r w:rsidRPr="00301D45">
      <w:t>1</w:t>
    </w:r>
    <w:r w:rsidRPr="00301D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675A" w14:textId="77777777" w:rsidR="00A7467B" w:rsidRPr="00D00DC4" w:rsidRDefault="008B0C81" w:rsidP="00D00DC4">
    <w:pPr>
      <w:pStyle w:val="Kontakt"/>
      <w:jc w:val="right"/>
    </w:pPr>
    <w:r w:rsidRPr="00D00DC4">
      <w:fldChar w:fldCharType="begin"/>
    </w:r>
    <w:r w:rsidRPr="00D00DC4">
      <w:instrText>PAGE   \* MERGEFORMAT</w:instrText>
    </w:r>
    <w:r w:rsidRPr="00D00DC4">
      <w:fldChar w:fldCharType="separate"/>
    </w:r>
    <w:r w:rsidRPr="00D00DC4">
      <w:t>1</w:t>
    </w:r>
    <w:r w:rsidRPr="00D00D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1E91" w14:textId="77777777" w:rsidR="00D567AE" w:rsidRDefault="00D567AE">
      <w:pPr>
        <w:spacing w:before="0" w:after="0"/>
      </w:pPr>
      <w:r>
        <w:separator/>
      </w:r>
    </w:p>
  </w:footnote>
  <w:footnote w:type="continuationSeparator" w:id="0">
    <w:p w14:paraId="49DF079E" w14:textId="77777777" w:rsidR="00D567AE" w:rsidRDefault="00D567AE">
      <w:pPr>
        <w:spacing w:before="0" w:after="0"/>
      </w:pPr>
      <w:r>
        <w:continuationSeparator/>
      </w:r>
    </w:p>
  </w:footnote>
  <w:footnote w:type="continuationNotice" w:id="1">
    <w:p w14:paraId="42B85656" w14:textId="77777777" w:rsidR="00D567AE" w:rsidRDefault="00D567AE">
      <w:pPr>
        <w:spacing w:before="0"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81"/>
    <w:rsid w:val="00004784"/>
    <w:rsid w:val="00036BF5"/>
    <w:rsid w:val="000606BD"/>
    <w:rsid w:val="00073737"/>
    <w:rsid w:val="0012578A"/>
    <w:rsid w:val="00126218"/>
    <w:rsid w:val="00140488"/>
    <w:rsid w:val="00157B18"/>
    <w:rsid w:val="001A078D"/>
    <w:rsid w:val="001B15AB"/>
    <w:rsid w:val="001C6478"/>
    <w:rsid w:val="001D0CD4"/>
    <w:rsid w:val="001F226C"/>
    <w:rsid w:val="0024298D"/>
    <w:rsid w:val="00262BFC"/>
    <w:rsid w:val="00287324"/>
    <w:rsid w:val="00291B95"/>
    <w:rsid w:val="002A4FA9"/>
    <w:rsid w:val="002E2140"/>
    <w:rsid w:val="002F2600"/>
    <w:rsid w:val="00312CB3"/>
    <w:rsid w:val="0036069F"/>
    <w:rsid w:val="003671CD"/>
    <w:rsid w:val="003A48B1"/>
    <w:rsid w:val="003D204E"/>
    <w:rsid w:val="003E368B"/>
    <w:rsid w:val="003F4BA2"/>
    <w:rsid w:val="0041540B"/>
    <w:rsid w:val="00435A7B"/>
    <w:rsid w:val="00440B69"/>
    <w:rsid w:val="00470091"/>
    <w:rsid w:val="004B211A"/>
    <w:rsid w:val="004C28B1"/>
    <w:rsid w:val="004E3F62"/>
    <w:rsid w:val="004E6044"/>
    <w:rsid w:val="004E7A68"/>
    <w:rsid w:val="0051291C"/>
    <w:rsid w:val="00534A7D"/>
    <w:rsid w:val="0053529A"/>
    <w:rsid w:val="00535943"/>
    <w:rsid w:val="00547823"/>
    <w:rsid w:val="00577F7E"/>
    <w:rsid w:val="00582921"/>
    <w:rsid w:val="005F2F7A"/>
    <w:rsid w:val="006303F9"/>
    <w:rsid w:val="00637241"/>
    <w:rsid w:val="006406FA"/>
    <w:rsid w:val="0065367E"/>
    <w:rsid w:val="006A0C95"/>
    <w:rsid w:val="006C1DDA"/>
    <w:rsid w:val="006D5BA7"/>
    <w:rsid w:val="006F0DBF"/>
    <w:rsid w:val="00716BC1"/>
    <w:rsid w:val="007636B6"/>
    <w:rsid w:val="00763F91"/>
    <w:rsid w:val="00781144"/>
    <w:rsid w:val="007819AC"/>
    <w:rsid w:val="007D274B"/>
    <w:rsid w:val="008110F0"/>
    <w:rsid w:val="00817C7E"/>
    <w:rsid w:val="008552CD"/>
    <w:rsid w:val="00886EEA"/>
    <w:rsid w:val="00890AD5"/>
    <w:rsid w:val="008A1807"/>
    <w:rsid w:val="008B0C81"/>
    <w:rsid w:val="008B5E04"/>
    <w:rsid w:val="008E650C"/>
    <w:rsid w:val="009008CE"/>
    <w:rsid w:val="00907E71"/>
    <w:rsid w:val="0092797E"/>
    <w:rsid w:val="0093784D"/>
    <w:rsid w:val="009524CC"/>
    <w:rsid w:val="009A21D1"/>
    <w:rsid w:val="009E2908"/>
    <w:rsid w:val="009F306D"/>
    <w:rsid w:val="00A36CD2"/>
    <w:rsid w:val="00A90079"/>
    <w:rsid w:val="00AC4F38"/>
    <w:rsid w:val="00B30AC3"/>
    <w:rsid w:val="00BA0B51"/>
    <w:rsid w:val="00C101E1"/>
    <w:rsid w:val="00C309ED"/>
    <w:rsid w:val="00C459F0"/>
    <w:rsid w:val="00C77E0F"/>
    <w:rsid w:val="00C80B22"/>
    <w:rsid w:val="00C913A5"/>
    <w:rsid w:val="00CD44A4"/>
    <w:rsid w:val="00CE6D39"/>
    <w:rsid w:val="00D03C1F"/>
    <w:rsid w:val="00D368EF"/>
    <w:rsid w:val="00D36C42"/>
    <w:rsid w:val="00D567AE"/>
    <w:rsid w:val="00DE3F29"/>
    <w:rsid w:val="00E34AF3"/>
    <w:rsid w:val="00E76443"/>
    <w:rsid w:val="00E91C79"/>
    <w:rsid w:val="00EA63AE"/>
    <w:rsid w:val="00EB7383"/>
    <w:rsid w:val="00EC65C4"/>
    <w:rsid w:val="00EE4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4C50"/>
  <w15:chartTrackingRefBased/>
  <w15:docId w15:val="{33D56BE6-2C36-4984-92FA-BC6B8E2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0C81"/>
    <w:pPr>
      <w:spacing w:before="100" w:beforeAutospacing="1" w:after="100" w:afterAutospacing="1" w:line="240" w:lineRule="auto"/>
      <w:ind w:left="709"/>
    </w:pPr>
    <w:rPr>
      <w:rFonts w:ascii="Motiva Sans" w:eastAsia="Times New Roman" w:hAnsi="Motiva Sans" w:cstheme="minorHAnsi"/>
      <w:sz w:val="20"/>
      <w:szCs w:val="20"/>
      <w:lang w:eastAsia="cs-CZ"/>
    </w:rPr>
  </w:style>
  <w:style w:type="paragraph" w:styleId="Nadpis1">
    <w:name w:val="heading 1"/>
    <w:next w:val="Normln"/>
    <w:link w:val="Nadpis1Char"/>
    <w:uiPriority w:val="9"/>
    <w:qFormat/>
    <w:rsid w:val="008B0C81"/>
    <w:pPr>
      <w:spacing w:after="0"/>
      <w:ind w:left="709"/>
      <w:outlineLvl w:val="0"/>
    </w:pPr>
    <w:rPr>
      <w:rFonts w:ascii="Motiva Sans" w:eastAsia="Times New Roman" w:hAnsi="Motiva Sans" w:cstheme="minorHAnsi"/>
      <w:b/>
      <w:caps/>
      <w:color w:val="0974BD"/>
      <w:sz w:val="28"/>
      <w:szCs w:val="24"/>
      <w:lang w:eastAsia="cs-CZ"/>
    </w:rPr>
  </w:style>
  <w:style w:type="paragraph" w:styleId="Nadpis2">
    <w:name w:val="heading 2"/>
    <w:next w:val="Normln"/>
    <w:link w:val="Nadpis2Char"/>
    <w:uiPriority w:val="9"/>
    <w:unhideWhenUsed/>
    <w:qFormat/>
    <w:rsid w:val="008B0C81"/>
    <w:pPr>
      <w:ind w:left="709"/>
      <w:outlineLvl w:val="1"/>
    </w:pPr>
    <w:rPr>
      <w:rFonts w:ascii="Motiva Sans" w:eastAsia="Times New Roman" w:hAnsi="Motiva Sans" w:cstheme="minorHAnsi"/>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B0C81"/>
    <w:rPr>
      <w:rFonts w:ascii="Motiva Sans" w:eastAsia="Times New Roman" w:hAnsi="Motiva Sans" w:cstheme="minorHAnsi"/>
      <w:b/>
      <w:caps/>
      <w:color w:val="0974BD"/>
      <w:sz w:val="28"/>
      <w:szCs w:val="24"/>
      <w:lang w:eastAsia="cs-CZ"/>
    </w:rPr>
  </w:style>
  <w:style w:type="character" w:customStyle="1" w:styleId="Nadpis2Char">
    <w:name w:val="Nadpis 2 Char"/>
    <w:basedOn w:val="Standardnpsmoodstavce"/>
    <w:link w:val="Nadpis2"/>
    <w:uiPriority w:val="9"/>
    <w:rsid w:val="008B0C81"/>
    <w:rPr>
      <w:rFonts w:ascii="Motiva Sans" w:eastAsia="Times New Roman" w:hAnsi="Motiva Sans" w:cstheme="minorHAnsi"/>
      <w:b/>
      <w:sz w:val="20"/>
      <w:szCs w:val="20"/>
      <w:lang w:eastAsia="cs-CZ"/>
    </w:rPr>
  </w:style>
  <w:style w:type="paragraph" w:styleId="Normlnweb">
    <w:name w:val="Normal (Web)"/>
    <w:basedOn w:val="Normln"/>
    <w:link w:val="NormlnwebChar"/>
    <w:uiPriority w:val="99"/>
    <w:unhideWhenUsed/>
    <w:rsid w:val="008B0C81"/>
    <w:rPr>
      <w:rFonts w:ascii="Times New Roman" w:hAnsi="Times New Roman" w:cs="Times New Roman"/>
      <w:sz w:val="24"/>
      <w:szCs w:val="24"/>
    </w:rPr>
  </w:style>
  <w:style w:type="character" w:styleId="Siln">
    <w:name w:val="Strong"/>
    <w:uiPriority w:val="22"/>
    <w:qFormat/>
    <w:rsid w:val="008B0C81"/>
    <w:rPr>
      <w:rFonts w:ascii="Motiva Sans" w:hAnsi="Motiva Sans" w:cstheme="minorHAnsi"/>
      <w:b/>
      <w:color w:val="0974BD"/>
      <w:sz w:val="20"/>
      <w:szCs w:val="20"/>
    </w:rPr>
  </w:style>
  <w:style w:type="table" w:styleId="Mkatabulky">
    <w:name w:val="Table Grid"/>
    <w:basedOn w:val="Normlntabulka"/>
    <w:uiPriority w:val="39"/>
    <w:rsid w:val="008B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rsid w:val="008B0C81"/>
    <w:rPr>
      <w:rFonts w:ascii="Motiva Sans" w:hAnsi="Motiva Sans" w:cstheme="minorHAnsi"/>
      <w:i/>
      <w:color w:val="0974BD"/>
      <w:sz w:val="20"/>
      <w:szCs w:val="20"/>
    </w:rPr>
  </w:style>
  <w:style w:type="paragraph" w:customStyle="1" w:styleId="Kontakt">
    <w:name w:val="Kontakt"/>
    <w:link w:val="KontaktChar"/>
    <w:qFormat/>
    <w:rsid w:val="008B0C81"/>
    <w:pPr>
      <w:tabs>
        <w:tab w:val="left" w:pos="709"/>
        <w:tab w:val="left" w:pos="2552"/>
        <w:tab w:val="left" w:pos="5670"/>
        <w:tab w:val="right" w:pos="9072"/>
      </w:tabs>
      <w:spacing w:after="0"/>
    </w:pPr>
    <w:rPr>
      <w:rFonts w:ascii="Motiva Sans" w:eastAsia="Times New Roman" w:hAnsi="Motiva Sans" w:cs="Times New Roman"/>
      <w:color w:val="0974BD"/>
      <w:sz w:val="18"/>
      <w:szCs w:val="18"/>
      <w:lang w:eastAsia="cs-CZ"/>
    </w:rPr>
  </w:style>
  <w:style w:type="character" w:customStyle="1" w:styleId="NormlnwebChar">
    <w:name w:val="Normální (web) Char"/>
    <w:basedOn w:val="Standardnpsmoodstavce"/>
    <w:link w:val="Normlnweb"/>
    <w:uiPriority w:val="99"/>
    <w:rsid w:val="008B0C81"/>
    <w:rPr>
      <w:rFonts w:ascii="Times New Roman" w:eastAsia="Times New Roman" w:hAnsi="Times New Roman" w:cs="Times New Roman"/>
      <w:sz w:val="24"/>
      <w:szCs w:val="24"/>
      <w:lang w:eastAsia="cs-CZ"/>
    </w:rPr>
  </w:style>
  <w:style w:type="character" w:customStyle="1" w:styleId="KontaktChar">
    <w:name w:val="Kontakt Char"/>
    <w:basedOn w:val="NormlnwebChar"/>
    <w:link w:val="Kontakt"/>
    <w:rsid w:val="008B0C81"/>
    <w:rPr>
      <w:rFonts w:ascii="Motiva Sans" w:eastAsia="Times New Roman" w:hAnsi="Motiva Sans" w:cs="Times New Roman"/>
      <w:color w:val="0974BD"/>
      <w:sz w:val="18"/>
      <w:szCs w:val="18"/>
      <w:lang w:eastAsia="cs-CZ"/>
    </w:rPr>
  </w:style>
  <w:style w:type="paragraph" w:customStyle="1" w:styleId="Perex">
    <w:name w:val="Perex"/>
    <w:basedOn w:val="Normlnweb"/>
    <w:link w:val="PerexChar"/>
    <w:qFormat/>
    <w:rsid w:val="008B0C81"/>
    <w:rPr>
      <w:rFonts w:ascii="Motiva Sans" w:hAnsi="Motiva Sans" w:cstheme="minorHAnsi"/>
      <w:b/>
      <w:color w:val="0974BD"/>
      <w:sz w:val="20"/>
      <w:szCs w:val="20"/>
    </w:rPr>
  </w:style>
  <w:style w:type="paragraph" w:customStyle="1" w:styleId="Zdraznntext">
    <w:name w:val="Zdůrazněný text"/>
    <w:link w:val="ZdraznntextChar"/>
    <w:qFormat/>
    <w:rsid w:val="008B0C81"/>
    <w:pPr>
      <w:spacing w:after="0" w:line="240" w:lineRule="auto"/>
    </w:pPr>
    <w:rPr>
      <w:rFonts w:ascii="Motiva Sans" w:eastAsia="Times New Roman" w:hAnsi="Motiva Sans" w:cs="Times New Roman"/>
      <w:i/>
      <w:color w:val="0974BD"/>
      <w:sz w:val="20"/>
      <w:szCs w:val="24"/>
      <w:lang w:eastAsia="cs-CZ"/>
    </w:rPr>
  </w:style>
  <w:style w:type="character" w:customStyle="1" w:styleId="PerexChar">
    <w:name w:val="Perex Char"/>
    <w:basedOn w:val="NormlnwebChar"/>
    <w:link w:val="Perex"/>
    <w:rsid w:val="008B0C81"/>
    <w:rPr>
      <w:rFonts w:ascii="Motiva Sans" w:eastAsia="Times New Roman" w:hAnsi="Motiva Sans" w:cstheme="minorHAnsi"/>
      <w:b/>
      <w:color w:val="0974BD"/>
      <w:sz w:val="20"/>
      <w:szCs w:val="20"/>
      <w:lang w:eastAsia="cs-CZ"/>
    </w:rPr>
  </w:style>
  <w:style w:type="character" w:customStyle="1" w:styleId="ZdraznntextChar">
    <w:name w:val="Zdůrazněný text Char"/>
    <w:basedOn w:val="NormlnwebChar"/>
    <w:link w:val="Zdraznntext"/>
    <w:rsid w:val="008B0C81"/>
    <w:rPr>
      <w:rFonts w:ascii="Motiva Sans" w:eastAsia="Times New Roman" w:hAnsi="Motiva Sans" w:cs="Times New Roman"/>
      <w:i/>
      <w:color w:val="0974BD"/>
      <w:sz w:val="20"/>
      <w:szCs w:val="24"/>
      <w:lang w:eastAsia="cs-CZ"/>
    </w:rPr>
  </w:style>
  <w:style w:type="paragraph" w:customStyle="1" w:styleId="Vceinformac">
    <w:name w:val="Více informací"/>
    <w:link w:val="VceinformacChar"/>
    <w:qFormat/>
    <w:rsid w:val="008B0C81"/>
    <w:pPr>
      <w:ind w:left="2552" w:hanging="1843"/>
    </w:pPr>
    <w:rPr>
      <w:rFonts w:ascii="Motiva Sans" w:eastAsia="Times New Roman" w:hAnsi="Motiva Sans" w:cs="Times New Roman"/>
      <w:color w:val="0974BD"/>
      <w:sz w:val="18"/>
      <w:szCs w:val="18"/>
      <w:lang w:eastAsia="cs-CZ"/>
    </w:rPr>
  </w:style>
  <w:style w:type="paragraph" w:customStyle="1" w:styleId="Obrzekpopisek">
    <w:name w:val="Obrázek popisek"/>
    <w:link w:val="ObrzekpopisekChar"/>
    <w:qFormat/>
    <w:rsid w:val="008B0C81"/>
    <w:rPr>
      <w:rFonts w:ascii="Motiva Sans" w:eastAsia="Times New Roman" w:hAnsi="Motiva Sans" w:cstheme="minorHAnsi"/>
      <w:i/>
      <w:sz w:val="18"/>
      <w:szCs w:val="20"/>
      <w:lang w:eastAsia="cs-CZ"/>
    </w:rPr>
  </w:style>
  <w:style w:type="character" w:customStyle="1" w:styleId="VceinformacChar">
    <w:name w:val="Více informací Char"/>
    <w:basedOn w:val="KontaktChar"/>
    <w:link w:val="Vceinformac"/>
    <w:rsid w:val="008B0C81"/>
    <w:rPr>
      <w:rFonts w:ascii="Motiva Sans" w:eastAsia="Times New Roman" w:hAnsi="Motiva Sans" w:cs="Times New Roman"/>
      <w:color w:val="0974BD"/>
      <w:sz w:val="18"/>
      <w:szCs w:val="18"/>
      <w:lang w:eastAsia="cs-CZ"/>
    </w:rPr>
  </w:style>
  <w:style w:type="character" w:customStyle="1" w:styleId="ObrzekpopisekChar">
    <w:name w:val="Obrázek popisek Char"/>
    <w:basedOn w:val="Standardnpsmoodstavce"/>
    <w:link w:val="Obrzekpopisek"/>
    <w:rsid w:val="008B0C81"/>
    <w:rPr>
      <w:rFonts w:ascii="Motiva Sans" w:eastAsia="Times New Roman" w:hAnsi="Motiva Sans" w:cstheme="minorHAnsi"/>
      <w:i/>
      <w:sz w:val="18"/>
      <w:szCs w:val="20"/>
      <w:lang w:eastAsia="cs-CZ"/>
    </w:rPr>
  </w:style>
  <w:style w:type="paragraph" w:styleId="Zhlav">
    <w:name w:val="header"/>
    <w:basedOn w:val="Normln"/>
    <w:link w:val="ZhlavChar"/>
    <w:uiPriority w:val="99"/>
    <w:unhideWhenUsed/>
    <w:rsid w:val="006A0C95"/>
    <w:pPr>
      <w:tabs>
        <w:tab w:val="center" w:pos="4536"/>
        <w:tab w:val="right" w:pos="9072"/>
      </w:tabs>
      <w:spacing w:before="0" w:after="0"/>
    </w:pPr>
  </w:style>
  <w:style w:type="character" w:customStyle="1" w:styleId="ZhlavChar">
    <w:name w:val="Záhlaví Char"/>
    <w:basedOn w:val="Standardnpsmoodstavce"/>
    <w:link w:val="Zhlav"/>
    <w:uiPriority w:val="99"/>
    <w:rsid w:val="006A0C95"/>
    <w:rPr>
      <w:rFonts w:ascii="Motiva Sans" w:eastAsia="Times New Roman" w:hAnsi="Motiva Sans" w:cstheme="minorHAnsi"/>
      <w:sz w:val="20"/>
      <w:szCs w:val="20"/>
      <w:lang w:eastAsia="cs-CZ"/>
    </w:rPr>
  </w:style>
  <w:style w:type="paragraph" w:styleId="Zpat">
    <w:name w:val="footer"/>
    <w:basedOn w:val="Normln"/>
    <w:link w:val="ZpatChar"/>
    <w:uiPriority w:val="99"/>
    <w:unhideWhenUsed/>
    <w:rsid w:val="006A0C95"/>
    <w:pPr>
      <w:tabs>
        <w:tab w:val="center" w:pos="4536"/>
        <w:tab w:val="right" w:pos="9072"/>
      </w:tabs>
      <w:spacing w:before="0" w:after="0"/>
    </w:pPr>
  </w:style>
  <w:style w:type="character" w:customStyle="1" w:styleId="ZpatChar">
    <w:name w:val="Zápatí Char"/>
    <w:basedOn w:val="Standardnpsmoodstavce"/>
    <w:link w:val="Zpat"/>
    <w:uiPriority w:val="99"/>
    <w:rsid w:val="006A0C95"/>
    <w:rPr>
      <w:rFonts w:ascii="Motiva Sans" w:eastAsia="Times New Roman" w:hAnsi="Motiva Sans" w:cstheme="minorHAnsi"/>
      <w:sz w:val="20"/>
      <w:szCs w:val="20"/>
      <w:lang w:eastAsia="cs-CZ"/>
    </w:rPr>
  </w:style>
  <w:style w:type="paragraph" w:styleId="Revize">
    <w:name w:val="Revision"/>
    <w:hidden/>
    <w:uiPriority w:val="99"/>
    <w:semiHidden/>
    <w:rsid w:val="00CD44A4"/>
    <w:pPr>
      <w:spacing w:after="0" w:line="240" w:lineRule="auto"/>
    </w:pPr>
    <w:rPr>
      <w:rFonts w:ascii="Motiva Sans" w:eastAsia="Times New Roman" w:hAnsi="Motiva Sans" w:cstheme="minorHAnsi"/>
      <w:sz w:val="20"/>
      <w:szCs w:val="20"/>
      <w:lang w:eastAsia="cs-CZ"/>
    </w:rPr>
  </w:style>
  <w:style w:type="character" w:styleId="Odkaznakoment">
    <w:name w:val="annotation reference"/>
    <w:basedOn w:val="Standardnpsmoodstavce"/>
    <w:uiPriority w:val="99"/>
    <w:semiHidden/>
    <w:unhideWhenUsed/>
    <w:rsid w:val="009E2908"/>
    <w:rPr>
      <w:sz w:val="16"/>
      <w:szCs w:val="16"/>
    </w:rPr>
  </w:style>
  <w:style w:type="paragraph" w:styleId="Textkomente">
    <w:name w:val="annotation text"/>
    <w:basedOn w:val="Normln"/>
    <w:link w:val="TextkomenteChar"/>
    <w:uiPriority w:val="99"/>
    <w:unhideWhenUsed/>
    <w:rsid w:val="009E2908"/>
  </w:style>
  <w:style w:type="character" w:customStyle="1" w:styleId="TextkomenteChar">
    <w:name w:val="Text komentáře Char"/>
    <w:basedOn w:val="Standardnpsmoodstavce"/>
    <w:link w:val="Textkomente"/>
    <w:uiPriority w:val="99"/>
    <w:rsid w:val="009E2908"/>
    <w:rPr>
      <w:rFonts w:ascii="Motiva Sans" w:eastAsia="Times New Roman" w:hAnsi="Motiva Sans" w:cstheme="minorHAnsi"/>
      <w:sz w:val="20"/>
      <w:szCs w:val="20"/>
      <w:lang w:eastAsia="cs-CZ"/>
    </w:rPr>
  </w:style>
  <w:style w:type="paragraph" w:styleId="Pedmtkomente">
    <w:name w:val="annotation subject"/>
    <w:basedOn w:val="Textkomente"/>
    <w:next w:val="Textkomente"/>
    <w:link w:val="PedmtkomenteChar"/>
    <w:uiPriority w:val="99"/>
    <w:semiHidden/>
    <w:unhideWhenUsed/>
    <w:rsid w:val="009E2908"/>
    <w:rPr>
      <w:b/>
      <w:bCs/>
    </w:rPr>
  </w:style>
  <w:style w:type="character" w:customStyle="1" w:styleId="PedmtkomenteChar">
    <w:name w:val="Předmět komentáře Char"/>
    <w:basedOn w:val="TextkomenteChar"/>
    <w:link w:val="Pedmtkomente"/>
    <w:uiPriority w:val="99"/>
    <w:semiHidden/>
    <w:rsid w:val="009E2908"/>
    <w:rPr>
      <w:rFonts w:ascii="Motiva Sans" w:eastAsia="Times New Roman" w:hAnsi="Motiva Sans" w:cstheme="minorHAnsi"/>
      <w:b/>
      <w:bCs/>
      <w:sz w:val="20"/>
      <w:szCs w:val="20"/>
      <w:lang w:eastAsia="cs-CZ"/>
    </w:rPr>
  </w:style>
  <w:style w:type="character" w:styleId="Hypertextovodkaz">
    <w:name w:val="Hyperlink"/>
    <w:basedOn w:val="Standardnpsmoodstavce"/>
    <w:uiPriority w:val="99"/>
    <w:unhideWhenUsed/>
    <w:rsid w:val="00781144"/>
    <w:rPr>
      <w:color w:val="0563C1" w:themeColor="hyperlink"/>
      <w:u w:val="single"/>
    </w:rPr>
  </w:style>
  <w:style w:type="paragraph" w:styleId="Textbubliny">
    <w:name w:val="Balloon Text"/>
    <w:basedOn w:val="Normln"/>
    <w:link w:val="TextbublinyChar"/>
    <w:uiPriority w:val="99"/>
    <w:semiHidden/>
    <w:unhideWhenUsed/>
    <w:rsid w:val="00E34AF3"/>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4AF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nipragu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imc.cas.cz/c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sophomer.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470C1-11F9-4FCF-AD3C-250C0E640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A42CA-9AF7-4015-9DC5-8916922981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DC63E-F0F9-4449-8A47-DFA362D82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968</Words>
  <Characters>6190</Characters>
  <Application>Microsoft Office Word</Application>
  <DocSecurity>0</DocSecurity>
  <Lines>108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Zvolánková</dc:creator>
  <cp:keywords/>
  <dc:description/>
  <cp:lastModifiedBy>Marcela Havelkova</cp:lastModifiedBy>
  <cp:revision>3</cp:revision>
  <dcterms:created xsi:type="dcterms:W3CDTF">2023-02-06T13:21:00Z</dcterms:created>
  <dcterms:modified xsi:type="dcterms:W3CDTF">2023-02-06T14:09:00Z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y fmtid="{D5CDD505-2E9C-101B-9397-08002B2CF9AE}" pid="3" name="GrammarlyDocumentId">
    <vt:lpwstr>cb1731832eac54909d4a83d4ac99575760dc78a79de134dd40657076578e2255</vt:lpwstr>
  </property>
</Properties>
</file>