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47E" w:rsidRPr="00FA6C3D" w:rsidRDefault="00FA6C3D">
      <w:pPr>
        <w:spacing w:before="240" w:after="0"/>
        <w:jc w:val="both"/>
        <w:rPr>
          <w:rFonts w:ascii="Calibri" w:eastAsia="Times New Roman" w:hAnsi="Calibri" w:cs="Calibri"/>
          <w:snapToGrid w:val="0"/>
          <w:sz w:val="40"/>
          <w:szCs w:val="40"/>
          <w:lang w:eastAsia="de-DE"/>
        </w:rPr>
      </w:pPr>
      <w:r w:rsidRPr="00FA6C3D">
        <w:rPr>
          <w:rFonts w:cstheme="minorHAnsi"/>
          <w:b/>
          <w:bCs/>
          <w:sz w:val="40"/>
          <w:szCs w:val="40"/>
        </w:rPr>
        <w:t>Krize s plasty vyžaduje zásadní systémové změny</w:t>
      </w:r>
      <w:r w:rsidR="00C473F8" w:rsidRPr="00FA6C3D">
        <w:rPr>
          <w:rFonts w:cstheme="minorHAnsi"/>
          <w:b/>
          <w:bCs/>
          <w:sz w:val="40"/>
          <w:szCs w:val="40"/>
        </w:rPr>
        <w:t xml:space="preserve">, shodují se evropští </w:t>
      </w:r>
      <w:r w:rsidR="001A24EC" w:rsidRPr="00FA6C3D">
        <w:rPr>
          <w:rFonts w:cstheme="minorHAnsi"/>
          <w:b/>
          <w:bCs/>
          <w:sz w:val="40"/>
          <w:szCs w:val="40"/>
        </w:rPr>
        <w:t>akademi</w:t>
      </w:r>
      <w:r w:rsidR="00EE218B" w:rsidRPr="00FA6C3D">
        <w:rPr>
          <w:rFonts w:cstheme="minorHAnsi"/>
          <w:b/>
          <w:bCs/>
          <w:sz w:val="40"/>
          <w:szCs w:val="40"/>
        </w:rPr>
        <w:t>ci</w:t>
      </w:r>
    </w:p>
    <w:p w:rsidR="003A547E" w:rsidRDefault="00FB2E06">
      <w:pPr>
        <w:pStyle w:val="Bezmezer"/>
        <w:spacing w:before="160"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2335F5">
        <w:rPr>
          <w:rFonts w:asciiTheme="majorHAnsi" w:hAnsiTheme="majorHAnsi" w:cstheme="majorHAnsi"/>
          <w:i/>
          <w:sz w:val="24"/>
          <w:szCs w:val="24"/>
        </w:rPr>
        <w:t xml:space="preserve">Praha, </w:t>
      </w:r>
      <w:r w:rsidR="00FA6C3D">
        <w:rPr>
          <w:rFonts w:asciiTheme="majorHAnsi" w:hAnsiTheme="majorHAnsi" w:cstheme="majorHAnsi"/>
          <w:i/>
          <w:sz w:val="24"/>
          <w:szCs w:val="24"/>
        </w:rPr>
        <w:t>1</w:t>
      </w:r>
      <w:r w:rsidR="002335F5" w:rsidRPr="002335F5">
        <w:rPr>
          <w:rFonts w:asciiTheme="majorHAnsi" w:hAnsiTheme="majorHAnsi" w:cstheme="majorHAnsi"/>
          <w:i/>
          <w:sz w:val="24"/>
          <w:szCs w:val="24"/>
        </w:rPr>
        <w:t>2</w:t>
      </w:r>
      <w:r w:rsidRPr="002335F5">
        <w:rPr>
          <w:rFonts w:asciiTheme="majorHAnsi" w:hAnsiTheme="majorHAnsi" w:cstheme="majorHAnsi"/>
          <w:i/>
          <w:sz w:val="24"/>
          <w:szCs w:val="24"/>
        </w:rPr>
        <w:t>. března 20</w:t>
      </w:r>
      <w:r w:rsidR="00FA6C3D">
        <w:rPr>
          <w:rFonts w:asciiTheme="majorHAnsi" w:hAnsiTheme="majorHAnsi" w:cstheme="majorHAnsi"/>
          <w:i/>
          <w:sz w:val="24"/>
          <w:szCs w:val="24"/>
        </w:rPr>
        <w:t>20</w:t>
      </w:r>
    </w:p>
    <w:p w:rsidR="003A547E" w:rsidRDefault="00FA6C3D">
      <w:pPr>
        <w:spacing w:before="160" w:after="36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Expertní rada pro vědu evropských akademií (</w:t>
      </w:r>
      <w:r w:rsidRPr="00FA6C3D">
        <w:rPr>
          <w:rFonts w:ascii="Calibri" w:eastAsia="Times New Roman" w:hAnsi="Calibri" w:cs="Calibri"/>
          <w:b/>
          <w:i/>
          <w:snapToGrid w:val="0"/>
          <w:sz w:val="24"/>
          <w:szCs w:val="24"/>
          <w:lang w:eastAsia="de-DE"/>
        </w:rPr>
        <w:t xml:space="preserve">EASAC – </w:t>
      </w:r>
      <w:proofErr w:type="spellStart"/>
      <w:r w:rsidRPr="00FA6C3D">
        <w:rPr>
          <w:rFonts w:ascii="Calibri" w:eastAsia="Times New Roman" w:hAnsi="Calibri" w:cs="Calibri"/>
          <w:b/>
          <w:i/>
          <w:snapToGrid w:val="0"/>
          <w:sz w:val="24"/>
          <w:szCs w:val="24"/>
          <w:lang w:eastAsia="de-DE"/>
        </w:rPr>
        <w:t>European</w:t>
      </w:r>
      <w:proofErr w:type="spellEnd"/>
      <w:r w:rsidRPr="00FA6C3D">
        <w:rPr>
          <w:rFonts w:ascii="Calibri" w:eastAsia="Times New Roman" w:hAnsi="Calibri" w:cs="Calibri"/>
          <w:b/>
          <w:i/>
          <w:snapToGrid w:val="0"/>
          <w:sz w:val="24"/>
          <w:szCs w:val="24"/>
          <w:lang w:eastAsia="de-DE"/>
        </w:rPr>
        <w:t xml:space="preserve"> </w:t>
      </w:r>
      <w:proofErr w:type="spellStart"/>
      <w:r w:rsidRPr="00FA6C3D">
        <w:rPr>
          <w:rFonts w:ascii="Calibri" w:eastAsia="Times New Roman" w:hAnsi="Calibri" w:cs="Calibri"/>
          <w:b/>
          <w:i/>
          <w:snapToGrid w:val="0"/>
          <w:sz w:val="24"/>
          <w:szCs w:val="24"/>
          <w:lang w:eastAsia="de-DE"/>
        </w:rPr>
        <w:t>Academies</w:t>
      </w:r>
      <w:proofErr w:type="spellEnd"/>
      <w:r w:rsidRPr="00FA6C3D">
        <w:rPr>
          <w:rFonts w:ascii="Calibri" w:eastAsia="Times New Roman" w:hAnsi="Calibri" w:cs="Calibri"/>
          <w:b/>
          <w:i/>
          <w:snapToGrid w:val="0"/>
          <w:sz w:val="24"/>
          <w:szCs w:val="24"/>
          <w:lang w:eastAsia="de-DE"/>
        </w:rPr>
        <w:t xml:space="preserve"> Science </w:t>
      </w:r>
      <w:proofErr w:type="spellStart"/>
      <w:r w:rsidRPr="00FA6C3D">
        <w:rPr>
          <w:rFonts w:ascii="Calibri" w:eastAsia="Times New Roman" w:hAnsi="Calibri" w:cs="Calibri"/>
          <w:b/>
          <w:i/>
          <w:snapToGrid w:val="0"/>
          <w:sz w:val="24"/>
          <w:szCs w:val="24"/>
          <w:lang w:eastAsia="de-DE"/>
        </w:rPr>
        <w:t>Advisory</w:t>
      </w:r>
      <w:proofErr w:type="spellEnd"/>
      <w:r w:rsidRPr="00FA6C3D">
        <w:rPr>
          <w:rFonts w:ascii="Calibri" w:eastAsia="Times New Roman" w:hAnsi="Calibri" w:cs="Calibri"/>
          <w:b/>
          <w:i/>
          <w:snapToGrid w:val="0"/>
          <w:sz w:val="24"/>
          <w:szCs w:val="24"/>
          <w:lang w:eastAsia="de-DE"/>
        </w:rPr>
        <w:t xml:space="preserve"> </w:t>
      </w:r>
      <w:proofErr w:type="spellStart"/>
      <w:r w:rsidRPr="00FA6C3D">
        <w:rPr>
          <w:rFonts w:ascii="Calibri" w:eastAsia="Times New Roman" w:hAnsi="Calibri" w:cs="Calibri"/>
          <w:b/>
          <w:i/>
          <w:snapToGrid w:val="0"/>
          <w:sz w:val="24"/>
          <w:szCs w:val="24"/>
          <w:lang w:eastAsia="de-DE"/>
        </w:rPr>
        <w:t>Council</w:t>
      </w:r>
      <w:proofErr w:type="spellEnd"/>
      <w:r w:rsidRPr="00FA6C3D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) varuje, že dosavadní snahy vyřešit krizi související s používáním plastových obalů jsou neúčinné a nesprávné. Politikové a výrobci se musejí zaměřit na problémy s plasty v celém systému, od jejich výroby přes využívání až likvidaci. Jen tak se dají zpomalit a napravit škody, které způsobují na životním prostředí, biodiverzitě, a tím potenciálně i na lidském zdraví</w:t>
      </w:r>
      <w:r w:rsidR="00C473F8" w:rsidRPr="00C473F8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.</w:t>
      </w:r>
    </w:p>
    <w:p w:rsidR="00FA6C3D" w:rsidRPr="00FA6C3D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EASAC ve své zprávě zveřejněné 10. března a nazvané </w:t>
      </w:r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 xml:space="preserve">Plastové obaly v oběhovém hospodářství </w:t>
      </w: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(</w:t>
      </w:r>
      <w:proofErr w:type="spellStart"/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fldChar w:fldCharType="begin"/>
      </w:r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instrText xml:space="preserve"> HYPERLINK "https://easac.eu/publications/details/packaging-plastics-in-the-circular-economy-1/" </w:instrText>
      </w:r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</w:r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fldChar w:fldCharType="separate"/>
      </w:r>
      <w:r w:rsidRPr="00FA6C3D">
        <w:rPr>
          <w:rStyle w:val="Hypertextovodkaz"/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Packaging</w:t>
      </w:r>
      <w:proofErr w:type="spellEnd"/>
      <w:r w:rsidRPr="00FA6C3D">
        <w:rPr>
          <w:rStyle w:val="Hypertextovodkaz"/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 xml:space="preserve"> </w:t>
      </w:r>
      <w:proofErr w:type="spellStart"/>
      <w:r w:rsidRPr="00FA6C3D">
        <w:rPr>
          <w:rStyle w:val="Hypertextovodkaz"/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Plastics</w:t>
      </w:r>
      <w:proofErr w:type="spellEnd"/>
      <w:r w:rsidRPr="00FA6C3D">
        <w:rPr>
          <w:rStyle w:val="Hypertextovodkaz"/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 xml:space="preserve"> in a </w:t>
      </w:r>
      <w:proofErr w:type="spellStart"/>
      <w:r w:rsidRPr="00FA6C3D">
        <w:rPr>
          <w:rStyle w:val="Hypertextovodkaz"/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Circular</w:t>
      </w:r>
      <w:proofErr w:type="spellEnd"/>
      <w:r w:rsidRPr="00FA6C3D">
        <w:rPr>
          <w:rStyle w:val="Hypertextovodkaz"/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 xml:space="preserve"> </w:t>
      </w:r>
      <w:proofErr w:type="spellStart"/>
      <w:r w:rsidRPr="00FA6C3D">
        <w:rPr>
          <w:rStyle w:val="Hypertextovodkaz"/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Economy</w:t>
      </w:r>
      <w:proofErr w:type="spellEnd"/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fldChar w:fldCharType="end"/>
      </w: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) připomíná, že výroba plastů se v</w:t>
      </w:r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celosvětovém měřítku zvýšila od šedesátých let 20. století do dneška z 1,5 milionu na zhruba 400 milionů tun ročně. Podle Michaela </w:t>
      </w:r>
      <w:proofErr w:type="spellStart"/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Nortona</w:t>
      </w:r>
      <w:proofErr w:type="spellEnd"/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, ředitele programu EASAC pro životní prostředí, narážejí snahy zredukovat pronikání milionů tun plastového odpadu do přírodního prostředí na stále rostoucí využívání plastů. </w:t>
      </w:r>
    </w:p>
    <w:p w:rsidR="00FA6C3D" w:rsidRPr="00FA6C3D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 xml:space="preserve">Jak podpořit oběhové hospodářství </w:t>
      </w:r>
    </w:p>
    <w:p w:rsidR="00FA6C3D" w:rsidRPr="00FA6C3D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Na rozdíl od tradiční lineární ekonomiky založené na principu „vyrobit, použít a vyhodit“ souvisí myšlenka oběhového hospodářství neboli cirkulární ekonomiky s udržitelným rozvojem. Cílem tohoto systému je zlepšovat kvalitu životního prostředí i lidského života zvyšováním efektivity produkce, odstraněním plýtvání a vyhazování a nepřetržitým využíváním odpadů. V cirkulární ekonomice by se mj. veškeré odpady z jednoho procesu měly stát zdrojem vstupujícím do procesů dalších, ať už průmyslových, nebo zemědělských. Cirkulární systémy zahrnují recyklaci, opětovné použití produktů a látek, přepracovávání, </w:t>
      </w: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lastRenderedPageBreak/>
        <w:t xml:space="preserve">renovaci, modernizaci a další postupy tak, aby vznikla uzavřená smyčka, do níž by vstupovalo minimum nových zdrojů a zároveň se minimalizoval vznik odpadu, znečišťujících látek a emisí oxidu uhličitého. Právě tyto principy se odrážejí i v nejnovější zprávě EASAC. </w:t>
      </w:r>
    </w:p>
    <w:p w:rsidR="00FA6C3D" w:rsidRPr="00FA6C3D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Na jejím vzniku se podílel i ředitel Ústavu makromolekulární chemie AV ČR Jiří Kotek: </w:t>
      </w:r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„Bylo již na čase, aby v Evropě vznikl dostupný dokument založený na objektivních informacích vycházejících z relevantních odborných studií. Při přehodnocování našeho přístupu k</w:t>
      </w:r>
      <w:r w:rsidR="00AD3753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 </w:t>
      </w:r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 xml:space="preserve">plastovým obalům si však musíme uvědomit, že plast v současné době nemá v řadě aplikací jinou rovnocennou alternativu. Základem by proto mělo být jejich efektivní využívání a zdokonalení recyklačních technik včetně rozkladu pomocí pyrolýzy, která probíhá za zvýšené teploty bez přístupu kyslíku. </w:t>
      </w:r>
      <w:proofErr w:type="spellStart"/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Pyrolýzní</w:t>
      </w:r>
      <w:proofErr w:type="spellEnd"/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 xml:space="preserve"> produkty lze následně využít pro další výrobu plastů. Pokud plastový odpad nelze žádným způsobem recyklovat, určitě nepatří na skládku. V</w:t>
      </w:r>
      <w:r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 </w:t>
      </w:r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takovém případě je na místě z něj získat alespoň energii spalováním v zařízeních na energetické využití odpadů.“</w:t>
      </w:r>
    </w:p>
    <w:p w:rsidR="00FA6C3D" w:rsidRPr="00FA6C3D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Recyklace na prvním místě</w:t>
      </w:r>
    </w:p>
    <w:p w:rsidR="00FA6C3D" w:rsidRPr="00FA6C3D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„</w:t>
      </w:r>
      <w:proofErr w:type="spellStart"/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Makroplasty</w:t>
      </w:r>
      <w:proofErr w:type="spellEnd"/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 xml:space="preserve"> i </w:t>
      </w:r>
      <w:proofErr w:type="spellStart"/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mikroplasty</w:t>
      </w:r>
      <w:proofErr w:type="spellEnd"/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 xml:space="preserve"> jsou dnes všudypřítomné na souši, v </w:t>
      </w:r>
      <w:proofErr w:type="gramStart"/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oceánech</w:t>
      </w:r>
      <w:proofErr w:type="gramEnd"/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 xml:space="preserve"> a dokonce v</w:t>
      </w:r>
      <w:r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 </w:t>
      </w:r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ovzduší,“</w:t>
      </w: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vysvětluje Michael </w:t>
      </w:r>
      <w:proofErr w:type="spellStart"/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Norton</w:t>
      </w:r>
      <w:proofErr w:type="spellEnd"/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. Pro mnoho živočišných druhů jsou smrtící, přenášejí se i</w:t>
      </w:r>
      <w:r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 </w:t>
      </w: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potravním řetězcem. EASAC nezpochybňuje zásadní roli plastů v našem životě, přináší však varování opírající se o vědecké poznatky. </w:t>
      </w:r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„Evropští zákonodárci by měli přijmout směrnice a</w:t>
      </w:r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 </w:t>
      </w:r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pobídky, které by urychlily postup směrem k ekonomice založené na oběhu plastového odpadu. Musíme opětovně využívat plastové zboží a obaly, dramaticky zlepšit recyklaci a</w:t>
      </w:r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 </w:t>
      </w:r>
      <w:r w:rsidRPr="00FA6C3D">
        <w:rPr>
          <w:rFonts w:ascii="Calibri" w:eastAsia="Times New Roman" w:hAnsi="Calibri" w:cs="Calibri"/>
          <w:i/>
          <w:snapToGrid w:val="0"/>
          <w:sz w:val="24"/>
          <w:szCs w:val="24"/>
          <w:lang w:eastAsia="de-DE"/>
        </w:rPr>
        <w:t>především zajistit, aby se žádný odpad nedostával do životního prostředí,“</w:t>
      </w: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dodává Michael </w:t>
      </w:r>
      <w:proofErr w:type="spellStart"/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Norton</w:t>
      </w:r>
      <w:proofErr w:type="spellEnd"/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v </w:t>
      </w:r>
      <w:hyperlink r:id="rId8" w:history="1">
        <w:r w:rsidRPr="00FA6C3D">
          <w:rPr>
            <w:rStyle w:val="Hypertextovodkaz"/>
            <w:rFonts w:ascii="Calibri" w:eastAsia="Times New Roman" w:hAnsi="Calibri" w:cs="Calibri"/>
            <w:snapToGrid w:val="0"/>
            <w:sz w:val="24"/>
            <w:szCs w:val="24"/>
            <w:lang w:eastAsia="de-DE"/>
          </w:rPr>
          <w:t>tiskové zprávě</w:t>
        </w:r>
      </w:hyperlink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. </w:t>
      </w:r>
    </w:p>
    <w:p w:rsidR="00FA6C3D" w:rsidRPr="00FA6C3D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Dokument upozorňuje, že z ekologického hlediska a z pohledu zdrojů není řešením sázet na stále větší využívání tzv. </w:t>
      </w:r>
      <w:proofErr w:type="spellStart"/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biomateriálů</w:t>
      </w:r>
      <w:proofErr w:type="spellEnd"/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, protože by to u spotřebitelů mohlo vyvolat falešný </w:t>
      </w: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lastRenderedPageBreak/>
        <w:t xml:space="preserve">dojem udržitelnosti a prodloužit současný životní styl založený na plýtvání a vyhazování těchto materiálů. </w:t>
      </w:r>
    </w:p>
    <w:p w:rsidR="00FA6C3D" w:rsidRPr="00FA6C3D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Jak změnit systém nakládání s plasty</w:t>
      </w:r>
    </w:p>
    <w:p w:rsidR="00FA6C3D" w:rsidRPr="00FA6C3D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Přední vědci z národních akademií věd 28 evropských zemí vůbec poprvé spojili síly a do hloubky prozkoumali celý řetězec činností spojených s nakládáním s plasty. Na základě jejich poznatků vydává EASAC sedm doporučení politikům Evropské unie, jak celý systém transformovat. </w:t>
      </w:r>
    </w:p>
    <w:p w:rsidR="00FA6C3D" w:rsidRPr="00FA6C3D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Stručný výtah ze sedmi doporučení zákonodárcům EU </w:t>
      </w:r>
    </w:p>
    <w:p w:rsidR="00FA6C3D" w:rsidRPr="00FA6C3D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DB52B1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1.</w:t>
      </w:r>
      <w:r w:rsidRPr="00DB52B1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ab/>
        <w:t>Zakázat vývoz plastového odpadu</w:t>
      </w: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</w:t>
      </w:r>
    </w:p>
    <w:p w:rsidR="00FA6C3D" w:rsidRPr="00FA6C3D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Podle EASAC se v současnosti většina plastového odpadu z EU nerecykluje v Evropě, ale obrovské množství kontaminovaného a obtížně recyklovatelného odpadu se vyváží mimo kontinent, kde často končí v ilegálních továrnách a uniká do životního prostředí.</w:t>
      </w:r>
    </w:p>
    <w:p w:rsidR="00FA6C3D" w:rsidRPr="00DB52B1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r w:rsidRPr="00DB52B1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2.</w:t>
      </w:r>
      <w:r w:rsidRPr="00DB52B1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ab/>
        <w:t>Stanovit za cíl nulové skládkování plastového odpadu, minimalizovat spotřebu plastů a používání jednorázových výrobků z nich</w:t>
      </w:r>
    </w:p>
    <w:p w:rsidR="00FA6C3D" w:rsidRPr="00FA6C3D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Jako jedno z řady důležitých opatření ke snížení jednorázově používaných plastů vědci doporučují rozšířit sběr vratných nápojových obalů o další typy. </w:t>
      </w:r>
    </w:p>
    <w:p w:rsidR="00FA6C3D" w:rsidRPr="00DB52B1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r w:rsidRPr="00DB52B1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3.</w:t>
      </w:r>
      <w:r w:rsidRPr="00DB52B1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ab/>
        <w:t>Rozšířit zodpovědnost výrobců</w:t>
      </w:r>
    </w:p>
    <w:p w:rsidR="00FA6C3D" w:rsidRPr="00FA6C3D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EASAC žádá, aby i výrobci plastů a prodejci platili poplatky za znečištění životního prostředí, např. za velkoobjemové plastové obaly, a aby se snížily poplatky za recyklované plasty. Výše poplatků by měla také zohledňovat výrobní charakteristiky plastů, spojené s finálním nakládáním s nimi a s jejich dopadem na životní prostředí, včetně toxicity, trvanlivosti, recyklovatelnosti atp.  </w:t>
      </w:r>
    </w:p>
    <w:p w:rsidR="00FA6C3D" w:rsidRPr="00AD3753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r w:rsidRPr="00AD3753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 xml:space="preserve"> 4.</w:t>
      </w:r>
      <w:r w:rsidRPr="00AD3753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ab/>
        <w:t xml:space="preserve">Skoncovat se zavádějící orientací na bio-alternativy  </w:t>
      </w:r>
    </w:p>
    <w:p w:rsidR="00FA6C3D" w:rsidRPr="00FA6C3D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lastRenderedPageBreak/>
        <w:t xml:space="preserve">Biologicky rozložitelné plasty mají podle vědců v současnosti pouze značně omezený potenciál. Střetávají se u nich totiž dva protichůdné požadavky, které jsou zatím obtížně dosažitelné: na jedné straně potřeba jejich delší trvanlivosti jakožto obalů potravin či spotřebního zboží, na druhé straně jejich schopnost se přirozenou cestou rychle rozkládat ve vodě či v půdě. „Bio“ také nemusí vždy znamenat menší dopad na životní prostředí z hlediska emisí skleníkových plynů či využití půdy.  </w:t>
      </w:r>
    </w:p>
    <w:p w:rsidR="00FA6C3D" w:rsidRPr="00AD3753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r w:rsidRPr="00AD3753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5.</w:t>
      </w:r>
      <w:r w:rsidRPr="00AD3753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ab/>
        <w:t>Pokročilé technologie recyklování a přepracovávání</w:t>
      </w:r>
    </w:p>
    <w:p w:rsidR="00FA6C3D" w:rsidRPr="00FA6C3D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Vědci EASAC upozorňují, že účinná recyklace většiny plastového odpadu, zejména smíšeného, je velmi obtížná. Je proto třeba vyvinout integrované recyklační systémy, které by si poradily s veškerým plastovým odpadem, aby se nemusel skládkovat či vyvážet mimo Evropu. </w:t>
      </w:r>
    </w:p>
    <w:p w:rsidR="00FA6C3D" w:rsidRPr="00AD3753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r w:rsidRPr="00AD3753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6.</w:t>
      </w:r>
      <w:r w:rsidRPr="00AD3753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ab/>
        <w:t xml:space="preserve">Omezení aditiv a používaných druhů plastů k usnadnění recyklace </w:t>
      </w:r>
    </w:p>
    <w:p w:rsidR="00FA6C3D" w:rsidRPr="00FA6C3D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Recyklace by byla po technické a ekonomické stránce daleko schůdnější, kdyby se omezilo používání určitých aditiv a snížil se počet druhů plastů, které lze použít pro konkrétní aplikace. Nejnovější technologický pokrok například už dovoluje nahradit dokonce i vícevrstvé obaly sestávající z několika různých materiálů, kvůli čemuž se dají jen obtížně recyklovat, a zaměnit je materiály s více vrstvami založenými pouze na jednom druhu plastů.  </w:t>
      </w:r>
    </w:p>
    <w:p w:rsidR="00FA6C3D" w:rsidRPr="00AD3753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r w:rsidRPr="00AD3753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7.</w:t>
      </w:r>
      <w:r w:rsidRPr="00AD3753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ab/>
        <w:t>Regulace cen a kvóty na recyklovaný obsah</w:t>
      </w:r>
    </w:p>
    <w:p w:rsidR="00FA6C3D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Cena je velmi účinným prostředkem k dosažení změny v chování spotřebitelů. EASAC však má za to, že nestačí jen ovlivnit motivaci jednotlivců. Politikové by zároveň měli urychleně vytvořit odpovídající regulační a finanční rámec, který by odrážel environmentální dopad výroby a využívání plastů. Zpráva EASAC tak podporuje opatření, o nichž se už diskutuje v EU a některých evropských státech, zahrnujících například daň z plastů nebo požadovaný minimální objem recyklovaných plastů. </w:t>
      </w:r>
    </w:p>
    <w:p w:rsidR="00FA6C3D" w:rsidRPr="00AD3753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bookmarkStart w:id="0" w:name="_GoBack"/>
      <w:bookmarkEnd w:id="0"/>
      <w:r w:rsidRPr="00AD3753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lastRenderedPageBreak/>
        <w:t>EASAC</w:t>
      </w:r>
    </w:p>
    <w:p w:rsidR="0052243F" w:rsidRDefault="00FA6C3D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FA6C3D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EASAC tvoří zástupci národních akademií věd členských států Evropské unie, Norska a Švýcarska a slouží jako poradní orgán politickým činitelům EU. Představuje těleso, díky němuž je evropská věda slyšet. Úkolem zástupců národních akademií je poskytovat nezávislé, expertní a na důkazech založené poradenství k vědeckým aspektům evropských politik všem, kteří vytvářejí nebo mají vliv na politiku institucí Evropské unie.</w:t>
      </w:r>
      <w:r w:rsidR="0052243F" w:rsidRPr="0052243F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</w:t>
      </w:r>
    </w:p>
    <w:p w:rsidR="00AD3753" w:rsidRDefault="00AD3753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</w:p>
    <w:p w:rsidR="003A547E" w:rsidRDefault="002335F5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2335F5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Kompletní tiskovou zprávu EASAC (v angličtině) najdete </w:t>
      </w:r>
      <w:hyperlink r:id="rId9" w:history="1">
        <w:r w:rsidRPr="002335F5">
          <w:rPr>
            <w:rStyle w:val="Hypertextovodkaz"/>
            <w:rFonts w:ascii="Calibri" w:eastAsia="Times New Roman" w:hAnsi="Calibri" w:cs="Calibri"/>
            <w:snapToGrid w:val="0"/>
            <w:sz w:val="24"/>
            <w:szCs w:val="24"/>
            <w:lang w:eastAsia="de-DE"/>
          </w:rPr>
          <w:t>zde</w:t>
        </w:r>
      </w:hyperlink>
      <w:r w:rsidRPr="002335F5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, podrobný report </w:t>
      </w:r>
      <w:hyperlink r:id="rId10" w:history="1">
        <w:r w:rsidRPr="002335F5">
          <w:rPr>
            <w:rStyle w:val="Hypertextovodkaz"/>
            <w:rFonts w:ascii="Calibri" w:eastAsia="Times New Roman" w:hAnsi="Calibri" w:cs="Calibri"/>
            <w:snapToGrid w:val="0"/>
            <w:sz w:val="24"/>
            <w:szCs w:val="24"/>
            <w:lang w:eastAsia="de-DE"/>
          </w:rPr>
          <w:t>zde</w:t>
        </w:r>
      </w:hyperlink>
      <w:r w:rsidRPr="002335F5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.</w:t>
      </w:r>
    </w:p>
    <w:p w:rsidR="00AD3753" w:rsidRDefault="00AD3753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</w:p>
    <w:p w:rsidR="00AD3753" w:rsidRPr="00AD3753" w:rsidRDefault="00AD3753" w:rsidP="00AD3753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</w:pPr>
      <w:r w:rsidRPr="00AD3753">
        <w:rPr>
          <w:rFonts w:ascii="Calibri" w:eastAsia="Times New Roman" w:hAnsi="Calibri" w:cs="Calibri"/>
          <w:b/>
          <w:snapToGrid w:val="0"/>
          <w:sz w:val="24"/>
          <w:szCs w:val="24"/>
          <w:lang w:eastAsia="de-DE"/>
        </w:rPr>
        <w:t>Kontakt pro další informace:</w:t>
      </w:r>
    </w:p>
    <w:p w:rsidR="00AD3753" w:rsidRPr="00AD3753" w:rsidRDefault="00AD3753" w:rsidP="00AD3753">
      <w:pPr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AD3753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Prof. Michael </w:t>
      </w:r>
      <w:proofErr w:type="spellStart"/>
      <w:r w:rsidRPr="00AD3753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Norton</w:t>
      </w:r>
      <w:proofErr w:type="spellEnd"/>
    </w:p>
    <w:p w:rsidR="00AD3753" w:rsidRPr="00AD3753" w:rsidRDefault="00AD3753" w:rsidP="00AD3753">
      <w:pPr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  <w:r w:rsidRPr="00AD3753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EASAC </w:t>
      </w:r>
      <w:proofErr w:type="spellStart"/>
      <w:r w:rsidRPr="00AD3753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Environment</w:t>
      </w:r>
      <w:proofErr w:type="spellEnd"/>
      <w:r w:rsidRPr="00AD3753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</w:t>
      </w:r>
      <w:proofErr w:type="spellStart"/>
      <w:r w:rsidRPr="00AD3753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Programme</w:t>
      </w:r>
      <w:proofErr w:type="spellEnd"/>
      <w:r w:rsidRPr="00AD3753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 xml:space="preserve"> </w:t>
      </w:r>
      <w:proofErr w:type="spellStart"/>
      <w:r w:rsidRPr="00AD3753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t>Director</w:t>
      </w:r>
      <w:proofErr w:type="spellEnd"/>
      <w:r w:rsidRPr="00AD3753">
        <w:rPr>
          <w:rFonts w:ascii="Calibri" w:eastAsia="Times New Roman" w:hAnsi="Calibri" w:cs="Calibri"/>
          <w:snapToGrid w:val="0"/>
          <w:sz w:val="24"/>
          <w:szCs w:val="24"/>
          <w:lang w:eastAsia="de-DE"/>
        </w:rPr>
        <w:br/>
        <w:t>Email: michael.norton@easac.eu</w:t>
      </w:r>
    </w:p>
    <w:p w:rsidR="00AD3753" w:rsidRDefault="00AD3753" w:rsidP="00FA6C3D">
      <w:pPr>
        <w:pStyle w:val="Bezmezer"/>
        <w:spacing w:before="120" w:line="360" w:lineRule="auto"/>
        <w:rPr>
          <w:rFonts w:ascii="Calibri" w:eastAsia="Times New Roman" w:hAnsi="Calibri" w:cs="Calibri"/>
          <w:snapToGrid w:val="0"/>
          <w:sz w:val="24"/>
          <w:szCs w:val="24"/>
          <w:lang w:eastAsia="de-DE"/>
        </w:rPr>
      </w:pPr>
    </w:p>
    <w:sectPr w:rsidR="00AD3753">
      <w:headerReference w:type="default" r:id="rId11"/>
      <w:footerReference w:type="default" r:id="rId12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393" w:rsidRDefault="00FE7393">
      <w:pPr>
        <w:spacing w:after="0" w:line="240" w:lineRule="auto"/>
      </w:pPr>
      <w:r>
        <w:separator/>
      </w:r>
    </w:p>
  </w:endnote>
  <w:endnote w:type="continuationSeparator" w:id="0">
    <w:p w:rsidR="00FE7393" w:rsidRDefault="00FE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47E" w:rsidRDefault="00FB2E06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Přímá spojnice 4" o:spid="_x0000_s1026" o:spt="20" style="position:absolute;left:0pt;margin-left:-0.3pt;margin-top:4.15pt;height:0pt;width:453pt;z-index:251659264;mso-width-relative:page;mso-height-relative:page;" filled="f" stroked="t" coordsize="21600,21600" o:gfxdata="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UXxwG1AAAAAUBAAAPAAAAAAAAAAEAIAAAACIAAABkcnMvZG93bnJl&#10;di54bWxQSwECFAAUAAAACACHTuJAVDqO68gBAABlAwAADgAAAAAAAAABACAAAAAjAQAAZHJzL2Uy&#10;b0RvYy54bWxQSwUGAAAAAAYABgBZAQAAXQUAAAAA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  <w:p w:rsidR="003A547E" w:rsidRDefault="00FB2E06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  <w:t>Kontakt: Ing. Jan Martinek</w:t>
    </w:r>
  </w:p>
  <w:p w:rsidR="003A547E" w:rsidRDefault="00FB2E06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 xml:space="preserve">Kancelář Akademie věd ČR </w:t>
    </w:r>
    <w:r>
      <w:rPr>
        <w:rFonts w:ascii="Motiva Sans" w:hAnsi="Motiva Sans" w:cs="Calibri"/>
        <w:color w:val="0072B6"/>
        <w:sz w:val="16"/>
        <w:szCs w:val="16"/>
      </w:rPr>
      <w:tab/>
    </w:r>
    <w:proofErr w:type="gramStart"/>
    <w:r>
      <w:rPr>
        <w:rFonts w:ascii="Motiva Sans" w:hAnsi="Motiva Sans" w:cs="Calibri"/>
        <w:color w:val="0072B6"/>
        <w:sz w:val="16"/>
        <w:szCs w:val="16"/>
      </w:rPr>
      <w:t>E-mail</w:t>
    </w:r>
    <w:proofErr w:type="gramEnd"/>
    <w:r>
      <w:rPr>
        <w:rFonts w:ascii="Motiva Sans" w:hAnsi="Motiva Sans" w:cs="Calibri"/>
        <w:color w:val="0072B6"/>
        <w:sz w:val="16"/>
        <w:szCs w:val="16"/>
      </w:rPr>
      <w:t xml:space="preserve">: </w:t>
    </w:r>
    <w:hyperlink r:id="rId1" w:history="1">
      <w:r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:rsidR="003A547E" w:rsidRDefault="00FB2E06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  <w:t>Telefon: +420 221 403 423</w:t>
    </w:r>
  </w:p>
  <w:p w:rsidR="003A547E" w:rsidRDefault="00FB2E06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>
      <w:rPr>
        <w:rFonts w:ascii="Motiva Sans" w:hAnsi="Motiva Sans" w:cs="Calibri"/>
        <w:color w:val="0072B6"/>
        <w:sz w:val="16"/>
        <w:szCs w:val="16"/>
      </w:rPr>
      <w:tab/>
      <w:t>Mobil: +420 602 270</w:t>
    </w:r>
    <w:r>
      <w:rPr>
        <w:rFonts w:ascii="Courier New" w:hAnsi="Courier New" w:cs="Courier New"/>
        <w:color w:val="0072B6"/>
        <w:sz w:val="16"/>
        <w:szCs w:val="16"/>
      </w:rPr>
      <w:t> </w:t>
    </w:r>
    <w:r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393" w:rsidRDefault="00FE7393">
      <w:pPr>
        <w:spacing w:after="0" w:line="240" w:lineRule="auto"/>
      </w:pPr>
      <w:r>
        <w:separator/>
      </w:r>
    </w:p>
  </w:footnote>
  <w:footnote w:type="continuationSeparator" w:id="0">
    <w:p w:rsidR="00FE7393" w:rsidRDefault="00FE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47E" w:rsidRDefault="00FB2E06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00533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32DE1"/>
    <w:multiLevelType w:val="hybridMultilevel"/>
    <w:tmpl w:val="5FCEE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D1"/>
    <w:rsid w:val="00024EEE"/>
    <w:rsid w:val="00043AD6"/>
    <w:rsid w:val="00072516"/>
    <w:rsid w:val="000831D4"/>
    <w:rsid w:val="000F4FAD"/>
    <w:rsid w:val="00115C03"/>
    <w:rsid w:val="00151348"/>
    <w:rsid w:val="001550FE"/>
    <w:rsid w:val="00183868"/>
    <w:rsid w:val="001A24EC"/>
    <w:rsid w:val="001B536D"/>
    <w:rsid w:val="001C71E5"/>
    <w:rsid w:val="002111DA"/>
    <w:rsid w:val="002335F5"/>
    <w:rsid w:val="002B4A3F"/>
    <w:rsid w:val="00382453"/>
    <w:rsid w:val="003A547E"/>
    <w:rsid w:val="003C4F84"/>
    <w:rsid w:val="00421CDD"/>
    <w:rsid w:val="00477CF8"/>
    <w:rsid w:val="0049745E"/>
    <w:rsid w:val="004F10C1"/>
    <w:rsid w:val="0052243F"/>
    <w:rsid w:val="0055299E"/>
    <w:rsid w:val="005D1374"/>
    <w:rsid w:val="00641A8C"/>
    <w:rsid w:val="00711613"/>
    <w:rsid w:val="00740EC0"/>
    <w:rsid w:val="007D7E92"/>
    <w:rsid w:val="00813BAD"/>
    <w:rsid w:val="00822B9C"/>
    <w:rsid w:val="00833BD1"/>
    <w:rsid w:val="00893022"/>
    <w:rsid w:val="008E2E42"/>
    <w:rsid w:val="0094143C"/>
    <w:rsid w:val="009448E9"/>
    <w:rsid w:val="009B5271"/>
    <w:rsid w:val="009C5C01"/>
    <w:rsid w:val="00AD3753"/>
    <w:rsid w:val="00B14712"/>
    <w:rsid w:val="00B63EDF"/>
    <w:rsid w:val="00BC5739"/>
    <w:rsid w:val="00BE6456"/>
    <w:rsid w:val="00C20172"/>
    <w:rsid w:val="00C36128"/>
    <w:rsid w:val="00C473F8"/>
    <w:rsid w:val="00C84323"/>
    <w:rsid w:val="00C91A2A"/>
    <w:rsid w:val="00D045E1"/>
    <w:rsid w:val="00D21DE0"/>
    <w:rsid w:val="00D3576F"/>
    <w:rsid w:val="00D4537A"/>
    <w:rsid w:val="00DB52B1"/>
    <w:rsid w:val="00DC43DA"/>
    <w:rsid w:val="00DE3BAC"/>
    <w:rsid w:val="00E14241"/>
    <w:rsid w:val="00EB53CC"/>
    <w:rsid w:val="00EB6A5B"/>
    <w:rsid w:val="00EC0F59"/>
    <w:rsid w:val="00EE218B"/>
    <w:rsid w:val="00EE499E"/>
    <w:rsid w:val="00F559E4"/>
    <w:rsid w:val="00F82F08"/>
    <w:rsid w:val="00FA6C3D"/>
    <w:rsid w:val="00FB2E06"/>
    <w:rsid w:val="00FE7393"/>
    <w:rsid w:val="1A59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55D5"/>
  <w15:docId w15:val="{D0462D94-BE92-48DE-BE55-90DAAEA7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Bezmezer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0FE"/>
    <w:rPr>
      <w:rFonts w:ascii="Segoe UI" w:hAnsi="Segoe UI" w:cs="Segoe UI"/>
      <w:sz w:val="18"/>
      <w:szCs w:val="18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5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0F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9448E9"/>
    <w:pPr>
      <w:suppressAutoHyphens/>
      <w:spacing w:after="0" w:line="240" w:lineRule="auto"/>
      <w:ind w:left="720"/>
      <w:contextualSpacing/>
    </w:pPr>
    <w:rPr>
      <w:rFonts w:ascii="Calibri" w:eastAsia="Yu Mincho" w:hAnsi="Calibri" w:cs="Times New Roman"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233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chi.mp/a9d1f79899e1/plastic-crisis-requires-fundamental-system-change?fbclid=IwAR1TSe5zObR3_EAZYEnLQtbnKZt0DReevQ8YTZVHtYE-Rbx8Yl0HvOfpK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asac.eu/fileadmin/PDF_s/reports_statements/Plastics/EASAC_Plastics_complete_Web_PD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ac.eu/press-releases/details/packaging-plastics-in-the-circular-economy0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1175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Horáčková Alice</dc:creator>
  <cp:lastModifiedBy>Růžičková Markéta</cp:lastModifiedBy>
  <cp:revision>5</cp:revision>
  <cp:lastPrinted>2019-03-20T13:32:00Z</cp:lastPrinted>
  <dcterms:created xsi:type="dcterms:W3CDTF">2020-03-12T13:47:00Z</dcterms:created>
  <dcterms:modified xsi:type="dcterms:W3CDTF">2020-03-12T13:58:00Z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